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2B010F6D"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4B6516">
        <w:t>3</w:t>
      </w:r>
      <w:r w:rsidR="00CD6314">
        <w:t>e</w:t>
      </w:r>
      <w:r w:rsidRPr="00663F19">
        <w:tab/>
      </w:r>
      <w:r w:rsidRPr="00B75509">
        <w:rPr>
          <w:sz w:val="32"/>
          <w:szCs w:val="32"/>
        </w:rPr>
        <w:t xml:space="preserve">Tdoc </w:t>
      </w:r>
      <w:r w:rsidR="00DF68B7" w:rsidRPr="00B75509">
        <w:rPr>
          <w:sz w:val="32"/>
          <w:szCs w:val="32"/>
        </w:rPr>
        <w:t>R2-</w:t>
      </w:r>
      <w:r w:rsidR="00A001E1" w:rsidRPr="00B75509">
        <w:rPr>
          <w:sz w:val="32"/>
          <w:szCs w:val="32"/>
        </w:rPr>
        <w:t>2</w:t>
      </w:r>
      <w:r w:rsidR="00355698">
        <w:rPr>
          <w:sz w:val="32"/>
          <w:szCs w:val="32"/>
        </w:rPr>
        <w:t>101555</w:t>
      </w:r>
      <w:bookmarkStart w:id="0" w:name="_GoBack"/>
      <w:bookmarkEnd w:id="0"/>
    </w:p>
    <w:p w14:paraId="75F40BC4" w14:textId="0EB98B3E" w:rsidR="00E90E49" w:rsidRPr="00663F19" w:rsidRDefault="0015455E" w:rsidP="00311702">
      <w:pPr>
        <w:pStyle w:val="3GPPHeader"/>
      </w:pPr>
      <w:r w:rsidRPr="00523229">
        <w:t>E-meeting</w:t>
      </w:r>
      <w:r w:rsidR="0027144F" w:rsidRPr="00523229">
        <w:t xml:space="preserve">, </w:t>
      </w:r>
      <w:r w:rsidR="004B6516">
        <w:t>Jan 25</w:t>
      </w:r>
      <w:r w:rsidR="004B6516" w:rsidRPr="004B6516">
        <w:rPr>
          <w:vertAlign w:val="superscript"/>
        </w:rPr>
        <w:t>th</w:t>
      </w:r>
      <w:r w:rsidR="004B6516">
        <w:t xml:space="preserve"> </w:t>
      </w:r>
      <w:r w:rsidR="00523229">
        <w:t xml:space="preserve">– </w:t>
      </w:r>
      <w:r w:rsidR="004B6516">
        <w:t>Feb 5</w:t>
      </w:r>
      <w:r w:rsidR="004B6516" w:rsidRPr="004B6516">
        <w:rPr>
          <w:vertAlign w:val="superscript"/>
        </w:rPr>
        <w:t>th</w:t>
      </w:r>
      <w:r w:rsidR="006B7A8D">
        <w:t xml:space="preserve">, </w:t>
      </w:r>
      <w:r w:rsidR="00523229">
        <w:t>202</w:t>
      </w:r>
      <w:r w:rsidR="004B6516">
        <w:t>1</w:t>
      </w:r>
    </w:p>
    <w:p w14:paraId="2E745AE3" w14:textId="77777777" w:rsidR="00E90E49" w:rsidRPr="00663F19" w:rsidRDefault="00E90E49" w:rsidP="00357380">
      <w:pPr>
        <w:pStyle w:val="3GPPHeader"/>
      </w:pPr>
    </w:p>
    <w:p w14:paraId="40CF7388" w14:textId="1AE087BC" w:rsidR="00E90E49" w:rsidRPr="00663F19" w:rsidRDefault="00E90E49" w:rsidP="00311702">
      <w:pPr>
        <w:pStyle w:val="3GPPHeader"/>
        <w:rPr>
          <w:sz w:val="22"/>
        </w:rPr>
      </w:pPr>
      <w:r w:rsidRPr="00663F19">
        <w:rPr>
          <w:sz w:val="22"/>
        </w:rPr>
        <w:t>Agenda Item:</w:t>
      </w:r>
      <w:r w:rsidRPr="00663F19">
        <w:rPr>
          <w:sz w:val="22"/>
        </w:rPr>
        <w:tab/>
      </w:r>
      <w:r w:rsidR="00987105">
        <w:rPr>
          <w:sz w:val="22"/>
        </w:rPr>
        <w:t>9.2.</w:t>
      </w:r>
      <w:r w:rsidR="00FA417D">
        <w:rPr>
          <w:sz w:val="22"/>
        </w:rPr>
        <w:t>3</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27D18A28" w:rsidR="00E90E49" w:rsidRPr="00663F19" w:rsidRDefault="003D3C45" w:rsidP="00311702">
      <w:pPr>
        <w:pStyle w:val="3GPPHeader"/>
        <w:rPr>
          <w:sz w:val="22"/>
        </w:rPr>
      </w:pPr>
      <w:r w:rsidRPr="00663F19">
        <w:rPr>
          <w:sz w:val="22"/>
        </w:rPr>
        <w:t>Title:</w:t>
      </w:r>
      <w:r w:rsidR="00E90E49" w:rsidRPr="00663F19">
        <w:rPr>
          <w:sz w:val="22"/>
        </w:rPr>
        <w:tab/>
      </w:r>
      <w:r w:rsidR="00FA417D">
        <w:rPr>
          <w:sz w:val="22"/>
        </w:rPr>
        <w:t>Idle and connected mode mobility</w:t>
      </w:r>
      <w:r w:rsidR="00843106">
        <w:rPr>
          <w:sz w:val="22"/>
        </w:rPr>
        <w:t xml:space="preserve"> for </w:t>
      </w:r>
      <w:r w:rsidR="00A001E1">
        <w:rPr>
          <w:sz w:val="22"/>
        </w:rPr>
        <w:t>I</w:t>
      </w:r>
      <w:r w:rsidR="007E7A48">
        <w:rPr>
          <w:sz w:val="22"/>
        </w:rPr>
        <w:t>o</w:t>
      </w:r>
      <w:r w:rsidR="00A001E1">
        <w:rPr>
          <w:sz w:val="22"/>
        </w:rPr>
        <w:t xml:space="preserve">T </w:t>
      </w:r>
      <w:r w:rsidR="00614326">
        <w:rPr>
          <w:sz w:val="22"/>
        </w:rPr>
        <w:t>NTN</w:t>
      </w:r>
    </w:p>
    <w:p w14:paraId="1C58528E" w14:textId="5C8DA81A"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77777777" w:rsidR="00E90E49" w:rsidRPr="00CE0424" w:rsidRDefault="00230D18" w:rsidP="00987105">
      <w:pPr>
        <w:pStyle w:val="Heading1"/>
      </w:pPr>
      <w:r>
        <w:t>1</w:t>
      </w:r>
      <w:r>
        <w:tab/>
      </w:r>
      <w:r w:rsidR="00E90E49" w:rsidRPr="00CE0424">
        <w:t>Introduction</w:t>
      </w:r>
    </w:p>
    <w:p w14:paraId="6B4AEC77" w14:textId="6928AA93" w:rsidR="003F3997" w:rsidRPr="000B30A2" w:rsidRDefault="004B6516" w:rsidP="003F3997">
      <w:pPr>
        <w:pStyle w:val="BodyText"/>
        <w:rPr>
          <w:i/>
          <w:iCs/>
          <w:sz w:val="20"/>
          <w:szCs w:val="20"/>
          <w:lang w:val="en-US"/>
        </w:rPr>
      </w:pPr>
      <w:bookmarkStart w:id="1" w:name="_Ref178064866"/>
      <w:r>
        <w:rPr>
          <w:sz w:val="20"/>
          <w:szCs w:val="20"/>
          <w:lang w:val="en-US"/>
        </w:rPr>
        <w:t>In RAN#86, a</w:t>
      </w:r>
      <w:r w:rsidR="003F3997" w:rsidRPr="00987105">
        <w:rPr>
          <w:sz w:val="20"/>
          <w:szCs w:val="20"/>
          <w:lang w:val="en-US"/>
        </w:rPr>
        <w:t xml:space="preserve"> </w:t>
      </w:r>
      <w:r w:rsidR="00644E1D" w:rsidRPr="00987105">
        <w:rPr>
          <w:sz w:val="20"/>
          <w:szCs w:val="20"/>
          <w:lang w:val="en-US"/>
        </w:rPr>
        <w:t>S</w:t>
      </w:r>
      <w:r w:rsidR="003F3997" w:rsidRPr="00987105">
        <w:rPr>
          <w:sz w:val="20"/>
          <w:szCs w:val="20"/>
          <w:lang w:val="en-US"/>
        </w:rPr>
        <w:t xml:space="preserve">I </w:t>
      </w:r>
      <w:r>
        <w:rPr>
          <w:sz w:val="20"/>
          <w:szCs w:val="20"/>
          <w:lang w:val="en-US"/>
        </w:rPr>
        <w:t xml:space="preserve">was approved </w:t>
      </w:r>
      <w:r w:rsidR="00356C68" w:rsidRPr="00987105">
        <w:rPr>
          <w:sz w:val="20"/>
          <w:szCs w:val="20"/>
          <w:lang w:val="en-US"/>
        </w:rPr>
        <w:t xml:space="preserve">to </w:t>
      </w:r>
      <w:r w:rsidR="00AA089D" w:rsidRPr="00987105">
        <w:rPr>
          <w:sz w:val="20"/>
          <w:szCs w:val="20"/>
        </w:rPr>
        <w:t xml:space="preserve">determine and evaluate the minimum necessary specifications to introduce </w:t>
      </w:r>
      <w:r w:rsidR="00356C68" w:rsidRPr="00987105">
        <w:rPr>
          <w:sz w:val="20"/>
          <w:szCs w:val="20"/>
        </w:rPr>
        <w:t xml:space="preserve">NB-IoT/eMTC support for </w:t>
      </w:r>
      <w:r w:rsidR="003F3997" w:rsidRPr="00987105">
        <w:rPr>
          <w:sz w:val="20"/>
          <w:szCs w:val="20"/>
          <w:lang w:val="en-US"/>
        </w:rPr>
        <w:t>non-terrestrial networks (NTN)</w:t>
      </w:r>
      <w:r w:rsidR="007C7EF8">
        <w:rPr>
          <w:sz w:val="20"/>
          <w:szCs w:val="20"/>
          <w:lang w:val="en-US"/>
        </w:rPr>
        <w:t>, The description for the SI was updated in RAN#90</w:t>
      </w:r>
      <w:r w:rsidR="003F3997" w:rsidRPr="00987105">
        <w:rPr>
          <w:sz w:val="20"/>
          <w:szCs w:val="20"/>
          <w:lang w:val="en-US"/>
        </w:rPr>
        <w:t xml:space="preserve"> </w:t>
      </w:r>
      <w:r w:rsidR="003F3997" w:rsidRPr="00987105">
        <w:rPr>
          <w:sz w:val="20"/>
          <w:szCs w:val="20"/>
        </w:rPr>
        <w:fldChar w:fldCharType="begin"/>
      </w:r>
      <w:r w:rsidR="003F3997" w:rsidRPr="00987105">
        <w:rPr>
          <w:sz w:val="20"/>
          <w:szCs w:val="20"/>
          <w:lang w:val="en-US"/>
        </w:rPr>
        <w:instrText xml:space="preserve"> REF _Ref45286859 \r \h </w:instrText>
      </w:r>
      <w:r w:rsidR="00987105">
        <w:rPr>
          <w:sz w:val="20"/>
          <w:szCs w:val="20"/>
        </w:rPr>
        <w:instrText xml:space="preserve"> \* MERGEFORMAT </w:instrText>
      </w:r>
      <w:r w:rsidR="003F3997" w:rsidRPr="00987105">
        <w:rPr>
          <w:sz w:val="20"/>
          <w:szCs w:val="20"/>
        </w:rPr>
      </w:r>
      <w:r w:rsidR="003F3997" w:rsidRPr="00987105">
        <w:rPr>
          <w:sz w:val="20"/>
          <w:szCs w:val="20"/>
        </w:rPr>
        <w:fldChar w:fldCharType="separate"/>
      </w:r>
      <w:r w:rsidR="00523229" w:rsidRPr="00987105">
        <w:rPr>
          <w:sz w:val="20"/>
          <w:szCs w:val="20"/>
          <w:lang w:val="en-US"/>
        </w:rPr>
        <w:t>[1]</w:t>
      </w:r>
      <w:r w:rsidR="003F3997" w:rsidRPr="00987105">
        <w:rPr>
          <w:sz w:val="20"/>
          <w:szCs w:val="20"/>
        </w:rPr>
        <w:fldChar w:fldCharType="end"/>
      </w:r>
      <w:r w:rsidR="00BA1283">
        <w:rPr>
          <w:sz w:val="20"/>
          <w:szCs w:val="20"/>
        </w:rPr>
        <w:t xml:space="preserve"> and it was </w:t>
      </w:r>
      <w:r w:rsidR="007C7EF8" w:rsidRPr="007C7EF8">
        <w:rPr>
          <w:sz w:val="20"/>
          <w:szCs w:val="20"/>
          <w:lang w:val="en-US"/>
        </w:rPr>
        <w:t xml:space="preserve">agreed to use the existing work on NR NTN captured in TR 38.821 </w:t>
      </w:r>
      <w:r w:rsidR="007C7EF8" w:rsidRPr="007C7EF8">
        <w:rPr>
          <w:sz w:val="20"/>
          <w:szCs w:val="20"/>
          <w:lang w:val="en-US"/>
        </w:rPr>
        <w:fldChar w:fldCharType="begin"/>
      </w:r>
      <w:r w:rsidR="007C7EF8" w:rsidRPr="007C7EF8">
        <w:rPr>
          <w:sz w:val="20"/>
          <w:szCs w:val="20"/>
          <w:lang w:val="en-US"/>
        </w:rPr>
        <w:instrText xml:space="preserve"> REF _Ref49798325 \r \h  \* MERGEFORMAT </w:instrText>
      </w:r>
      <w:r w:rsidR="007C7EF8" w:rsidRPr="007C7EF8">
        <w:rPr>
          <w:sz w:val="20"/>
          <w:szCs w:val="20"/>
          <w:lang w:val="en-US"/>
        </w:rPr>
      </w:r>
      <w:r w:rsidR="007C7EF8" w:rsidRPr="007C7EF8">
        <w:rPr>
          <w:sz w:val="20"/>
          <w:szCs w:val="20"/>
          <w:lang w:val="en-US"/>
        </w:rPr>
        <w:fldChar w:fldCharType="separate"/>
      </w:r>
      <w:r w:rsidR="007C7EF8" w:rsidRPr="007C7EF8">
        <w:rPr>
          <w:sz w:val="20"/>
          <w:szCs w:val="20"/>
          <w:lang w:val="en-US"/>
        </w:rPr>
        <w:t>[2]</w:t>
      </w:r>
      <w:r w:rsidR="007C7EF8" w:rsidRPr="007C7EF8">
        <w:rPr>
          <w:sz w:val="20"/>
          <w:szCs w:val="20"/>
          <w:lang w:val="en-US"/>
        </w:rPr>
        <w:fldChar w:fldCharType="end"/>
      </w:r>
      <w:r w:rsidR="007C7EF8" w:rsidRPr="007C7EF8">
        <w:rPr>
          <w:sz w:val="20"/>
          <w:szCs w:val="20"/>
          <w:lang w:val="en-US"/>
        </w:rPr>
        <w:t xml:space="preserve"> as a baseline.</w:t>
      </w:r>
      <w:r w:rsidR="000B30A2">
        <w:rPr>
          <w:i/>
          <w:iCs/>
          <w:sz w:val="20"/>
          <w:szCs w:val="20"/>
          <w:lang w:val="en-US"/>
        </w:rPr>
        <w:t xml:space="preserve"> </w:t>
      </w:r>
      <w:r w:rsidR="003F3997" w:rsidRPr="00987105">
        <w:rPr>
          <w:sz w:val="20"/>
          <w:szCs w:val="20"/>
          <w:lang w:val="en-US"/>
        </w:rPr>
        <w:t xml:space="preserve">In this contribution </w:t>
      </w:r>
      <w:r w:rsidR="00F13D48" w:rsidRPr="00987105">
        <w:rPr>
          <w:sz w:val="20"/>
          <w:szCs w:val="20"/>
        </w:rPr>
        <w:t xml:space="preserve">we </w:t>
      </w:r>
      <w:r>
        <w:rPr>
          <w:sz w:val="20"/>
          <w:szCs w:val="20"/>
        </w:rPr>
        <w:t xml:space="preserve">discuss </w:t>
      </w:r>
      <w:r w:rsidR="00F13D48" w:rsidRPr="00987105">
        <w:rPr>
          <w:sz w:val="20"/>
          <w:szCs w:val="20"/>
        </w:rPr>
        <w:t xml:space="preserve">the </w:t>
      </w:r>
      <w:r w:rsidR="00711EE8">
        <w:rPr>
          <w:sz w:val="20"/>
          <w:szCs w:val="20"/>
        </w:rPr>
        <w:t xml:space="preserve">idle and connected mode mobility </w:t>
      </w:r>
      <w:r w:rsidR="00DA72B2">
        <w:rPr>
          <w:sz w:val="20"/>
          <w:szCs w:val="20"/>
        </w:rPr>
        <w:t>for IoT NTN</w:t>
      </w:r>
      <w:r w:rsidR="00F13D48" w:rsidRPr="00987105">
        <w:rPr>
          <w:sz w:val="20"/>
          <w:szCs w:val="20"/>
        </w:rPr>
        <w:t>.</w:t>
      </w:r>
    </w:p>
    <w:p w14:paraId="35F8BEEA" w14:textId="346F2B87" w:rsidR="003E4DB2" w:rsidRDefault="003E4DB2" w:rsidP="003E4DB2">
      <w:pPr>
        <w:pStyle w:val="Heading1"/>
      </w:pPr>
      <w:r>
        <w:t>2</w:t>
      </w:r>
      <w:r>
        <w:tab/>
      </w:r>
      <w:r w:rsidR="001A25CF">
        <w:t>Idle mode mobility</w:t>
      </w:r>
    </w:p>
    <w:p w14:paraId="363D1F9B" w14:textId="6A4235EA" w:rsidR="001A25CF" w:rsidRPr="00932D02" w:rsidRDefault="001A25CF" w:rsidP="001A25CF">
      <w:pPr>
        <w:pStyle w:val="BodyText"/>
        <w:rPr>
          <w:sz w:val="20"/>
          <w:szCs w:val="20"/>
          <w:lang w:val="en-US" w:eastAsia="ja-JP"/>
        </w:rPr>
      </w:pPr>
      <w:bookmarkStart w:id="2" w:name="_Hlk61217631"/>
      <w:r>
        <w:rPr>
          <w:sz w:val="20"/>
          <w:szCs w:val="20"/>
          <w:lang w:val="en-US" w:eastAsia="ja-JP"/>
        </w:rPr>
        <w:t>T</w:t>
      </w:r>
      <w:r w:rsidRPr="00932D02">
        <w:rPr>
          <w:sz w:val="20"/>
          <w:szCs w:val="20"/>
          <w:lang w:val="en-US" w:eastAsia="ja-JP"/>
        </w:rPr>
        <w:t xml:space="preserve">he </w:t>
      </w:r>
      <w:r>
        <w:rPr>
          <w:sz w:val="20"/>
          <w:szCs w:val="20"/>
          <w:lang w:val="en-US" w:eastAsia="ja-JP"/>
        </w:rPr>
        <w:t>c</w:t>
      </w:r>
      <w:r w:rsidRPr="00932D02">
        <w:rPr>
          <w:sz w:val="20"/>
          <w:szCs w:val="20"/>
          <w:lang w:val="en-US" w:eastAsia="ja-JP"/>
        </w:rPr>
        <w:t xml:space="preserve">ell </w:t>
      </w:r>
      <w:r>
        <w:rPr>
          <w:sz w:val="20"/>
          <w:szCs w:val="20"/>
          <w:lang w:val="en-US" w:eastAsia="ja-JP"/>
        </w:rPr>
        <w:t>s</w:t>
      </w:r>
      <w:r w:rsidRPr="00932D02">
        <w:rPr>
          <w:sz w:val="20"/>
          <w:szCs w:val="20"/>
          <w:lang w:val="en-US" w:eastAsia="ja-JP"/>
        </w:rPr>
        <w:t>election/</w:t>
      </w:r>
      <w:r>
        <w:rPr>
          <w:sz w:val="20"/>
          <w:szCs w:val="20"/>
          <w:lang w:val="en-US" w:eastAsia="ja-JP"/>
        </w:rPr>
        <w:t>r</w:t>
      </w:r>
      <w:r w:rsidRPr="00932D02">
        <w:rPr>
          <w:sz w:val="20"/>
          <w:szCs w:val="20"/>
          <w:lang w:val="en-US" w:eastAsia="ja-JP"/>
        </w:rPr>
        <w:t xml:space="preserve">eselection procedures </w:t>
      </w:r>
      <w:r>
        <w:rPr>
          <w:sz w:val="20"/>
          <w:szCs w:val="20"/>
          <w:lang w:val="en-US" w:eastAsia="ja-JP"/>
        </w:rPr>
        <w:t xml:space="preserve">for LTE are quite </w:t>
      </w:r>
      <w:r w:rsidRPr="00932D02">
        <w:rPr>
          <w:sz w:val="20"/>
          <w:szCs w:val="20"/>
          <w:lang w:val="en-US" w:eastAsia="ja-JP"/>
        </w:rPr>
        <w:t xml:space="preserve">similar to the </w:t>
      </w:r>
      <w:r>
        <w:rPr>
          <w:sz w:val="20"/>
          <w:szCs w:val="20"/>
          <w:lang w:val="en-US" w:eastAsia="ja-JP"/>
        </w:rPr>
        <w:t xml:space="preserve">procedures in </w:t>
      </w:r>
      <w:r w:rsidRPr="00932D02">
        <w:rPr>
          <w:sz w:val="20"/>
          <w:szCs w:val="20"/>
          <w:lang w:val="en-US" w:eastAsia="ja-JP"/>
        </w:rPr>
        <w:t>NR; thus, it seems reasonable, as a baseline, to adopt the same measures and concept</w:t>
      </w:r>
      <w:r>
        <w:rPr>
          <w:sz w:val="20"/>
          <w:szCs w:val="20"/>
          <w:lang w:val="en-US" w:eastAsia="ja-JP"/>
        </w:rPr>
        <w:t>s</w:t>
      </w:r>
      <w:r w:rsidRPr="00932D02">
        <w:rPr>
          <w:sz w:val="20"/>
          <w:szCs w:val="20"/>
          <w:lang w:val="en-US" w:eastAsia="ja-JP"/>
        </w:rPr>
        <w:t xml:space="preserve"> described in </w:t>
      </w:r>
      <w:r w:rsidRPr="00932D02">
        <w:rPr>
          <w:sz w:val="20"/>
          <w:szCs w:val="20"/>
          <w:lang w:val="en-US" w:eastAsia="ja-JP"/>
        </w:rPr>
        <w:fldChar w:fldCharType="begin"/>
      </w:r>
      <w:r w:rsidRPr="00932D02">
        <w:rPr>
          <w:sz w:val="20"/>
          <w:szCs w:val="20"/>
          <w:lang w:val="en-US" w:eastAsia="ja-JP"/>
        </w:rPr>
        <w:instrText xml:space="preserve"> REF _Ref45301066 \r \h </w:instrText>
      </w:r>
      <w:r>
        <w:rPr>
          <w:sz w:val="20"/>
          <w:szCs w:val="20"/>
          <w:lang w:val="en-US" w:eastAsia="ja-JP"/>
        </w:rPr>
        <w:instrText xml:space="preserve"> \* MERGEFORMAT </w:instrText>
      </w:r>
      <w:r w:rsidRPr="00932D02">
        <w:rPr>
          <w:sz w:val="20"/>
          <w:szCs w:val="20"/>
          <w:lang w:val="en-US" w:eastAsia="ja-JP"/>
        </w:rPr>
      </w:r>
      <w:r w:rsidRPr="00932D02">
        <w:rPr>
          <w:sz w:val="20"/>
          <w:szCs w:val="20"/>
          <w:lang w:val="en-US" w:eastAsia="ja-JP"/>
        </w:rPr>
        <w:fldChar w:fldCharType="separate"/>
      </w:r>
      <w:r w:rsidRPr="00932D02">
        <w:rPr>
          <w:sz w:val="20"/>
          <w:szCs w:val="20"/>
          <w:lang w:val="en-US" w:eastAsia="ja-JP"/>
        </w:rPr>
        <w:t>[</w:t>
      </w:r>
      <w:r>
        <w:rPr>
          <w:sz w:val="20"/>
          <w:szCs w:val="20"/>
          <w:lang w:val="en-US" w:eastAsia="ja-JP"/>
        </w:rPr>
        <w:t>2</w:t>
      </w:r>
      <w:r w:rsidRPr="00932D02">
        <w:rPr>
          <w:sz w:val="20"/>
          <w:szCs w:val="20"/>
          <w:lang w:val="en-US" w:eastAsia="ja-JP"/>
        </w:rPr>
        <w:t>]</w:t>
      </w:r>
      <w:r w:rsidRPr="00932D02">
        <w:rPr>
          <w:sz w:val="20"/>
          <w:szCs w:val="20"/>
          <w:lang w:val="en-US" w:eastAsia="ja-JP"/>
        </w:rPr>
        <w:fldChar w:fldCharType="end"/>
      </w:r>
      <w:r w:rsidRPr="00932D02">
        <w:rPr>
          <w:sz w:val="20"/>
          <w:szCs w:val="20"/>
          <w:lang w:val="en-US" w:eastAsia="ja-JP"/>
        </w:rPr>
        <w:t xml:space="preserve">; nevertheless, there are </w:t>
      </w:r>
      <w:r>
        <w:rPr>
          <w:sz w:val="20"/>
          <w:szCs w:val="20"/>
          <w:lang w:val="en-US" w:eastAsia="ja-JP"/>
        </w:rPr>
        <w:t xml:space="preserve">a </w:t>
      </w:r>
      <w:r w:rsidRPr="00932D02">
        <w:rPr>
          <w:sz w:val="20"/>
          <w:szCs w:val="20"/>
          <w:lang w:val="en-US" w:eastAsia="ja-JP"/>
        </w:rPr>
        <w:t>few differences.</w:t>
      </w:r>
    </w:p>
    <w:p w14:paraId="61F25C64" w14:textId="22BD9FE3" w:rsidR="001A25CF" w:rsidRPr="00932D02" w:rsidRDefault="001A25CF" w:rsidP="001A25CF">
      <w:pPr>
        <w:pStyle w:val="BodyText"/>
        <w:rPr>
          <w:sz w:val="20"/>
          <w:szCs w:val="20"/>
          <w:lang w:val="en-US" w:eastAsia="ja-JP"/>
        </w:rPr>
      </w:pPr>
      <w:r w:rsidRPr="00932D02">
        <w:rPr>
          <w:sz w:val="20"/>
          <w:szCs w:val="20"/>
          <w:lang w:val="en-US" w:eastAsia="ja-JP"/>
        </w:rPr>
        <w:t>LTE-M and NB-IoT have a lower resolution in terms of RSRP and RSRQ measurement</w:t>
      </w:r>
      <w:r>
        <w:rPr>
          <w:sz w:val="20"/>
          <w:szCs w:val="20"/>
          <w:lang w:val="en-US" w:eastAsia="ja-JP"/>
        </w:rPr>
        <w:t>s</w:t>
      </w:r>
      <w:r w:rsidRPr="00932D02">
        <w:rPr>
          <w:sz w:val="20"/>
          <w:szCs w:val="20"/>
          <w:lang w:val="en-US" w:eastAsia="ja-JP"/>
        </w:rPr>
        <w:t xml:space="preserve"> due to lower complexity and sparse measurement behavior. Due to the propagation characteristics of the satellite channel the UE may have difficulties to determine the best cell to camp based on RSRP/RSRQ measurements. If we consider the reduced precision, a UE </w:t>
      </w:r>
      <w:r>
        <w:rPr>
          <w:sz w:val="20"/>
          <w:szCs w:val="20"/>
          <w:lang w:val="en-US" w:eastAsia="ja-JP"/>
        </w:rPr>
        <w:t>may h</w:t>
      </w:r>
      <w:r w:rsidRPr="00932D02">
        <w:rPr>
          <w:sz w:val="20"/>
          <w:szCs w:val="20"/>
          <w:lang w:val="en-US" w:eastAsia="ja-JP"/>
        </w:rPr>
        <w:t>ave problems in performing cell (re)selection precisely.</w:t>
      </w:r>
    </w:p>
    <w:p w14:paraId="2C9887BA" w14:textId="7C6874CD" w:rsidR="001A25CF" w:rsidRDefault="001A25CF" w:rsidP="001A25CF">
      <w:pPr>
        <w:pStyle w:val="BodyText"/>
        <w:rPr>
          <w:rFonts w:cs="Arial"/>
          <w:sz w:val="20"/>
          <w:szCs w:val="20"/>
        </w:rPr>
      </w:pPr>
      <w:r w:rsidRPr="00932D02">
        <w:rPr>
          <w:sz w:val="20"/>
          <w:szCs w:val="20"/>
          <w:lang w:val="en-US" w:eastAsia="ja-JP"/>
        </w:rPr>
        <w:t xml:space="preserve">The recommendation to </w:t>
      </w:r>
      <w:r>
        <w:rPr>
          <w:sz w:val="20"/>
          <w:szCs w:val="20"/>
          <w:lang w:val="en-US" w:eastAsia="ja-JP"/>
        </w:rPr>
        <w:t xml:space="preserve">address </w:t>
      </w:r>
      <w:r w:rsidRPr="00932D02">
        <w:rPr>
          <w:sz w:val="20"/>
          <w:szCs w:val="20"/>
          <w:lang w:val="en-US" w:eastAsia="ja-JP"/>
        </w:rPr>
        <w:t>this issue in NR</w:t>
      </w:r>
      <w:r>
        <w:rPr>
          <w:sz w:val="20"/>
          <w:szCs w:val="20"/>
          <w:lang w:val="en-US" w:eastAsia="ja-JP"/>
        </w:rPr>
        <w:t>,</w:t>
      </w:r>
      <w:r w:rsidRPr="00932D02">
        <w:rPr>
          <w:sz w:val="20"/>
          <w:szCs w:val="20"/>
          <w:lang w:val="en-US" w:eastAsia="ja-JP"/>
        </w:rPr>
        <w:t xml:space="preserve"> according to </w:t>
      </w:r>
      <w:r w:rsidRPr="00932D02">
        <w:rPr>
          <w:sz w:val="20"/>
          <w:szCs w:val="20"/>
          <w:lang w:val="en-US" w:eastAsia="ja-JP"/>
        </w:rPr>
        <w:fldChar w:fldCharType="begin"/>
      </w:r>
      <w:r w:rsidRPr="00932D02">
        <w:rPr>
          <w:sz w:val="20"/>
          <w:szCs w:val="20"/>
          <w:lang w:val="en-US" w:eastAsia="ja-JP"/>
        </w:rPr>
        <w:instrText xml:space="preserve"> REF _Ref45301066 \r \h </w:instrText>
      </w:r>
      <w:r>
        <w:rPr>
          <w:sz w:val="20"/>
          <w:szCs w:val="20"/>
          <w:lang w:val="en-US" w:eastAsia="ja-JP"/>
        </w:rPr>
        <w:instrText xml:space="preserve"> \* MERGEFORMAT </w:instrText>
      </w:r>
      <w:r w:rsidRPr="00932D02">
        <w:rPr>
          <w:sz w:val="20"/>
          <w:szCs w:val="20"/>
          <w:lang w:val="en-US" w:eastAsia="ja-JP"/>
        </w:rPr>
      </w:r>
      <w:r w:rsidRPr="00932D02">
        <w:rPr>
          <w:sz w:val="20"/>
          <w:szCs w:val="20"/>
          <w:lang w:val="en-US" w:eastAsia="ja-JP"/>
        </w:rPr>
        <w:fldChar w:fldCharType="separate"/>
      </w:r>
      <w:r w:rsidRPr="00932D02">
        <w:rPr>
          <w:sz w:val="20"/>
          <w:szCs w:val="20"/>
          <w:lang w:val="en-US" w:eastAsia="ja-JP"/>
        </w:rPr>
        <w:t>[</w:t>
      </w:r>
      <w:r>
        <w:rPr>
          <w:sz w:val="20"/>
          <w:szCs w:val="20"/>
          <w:lang w:val="en-US" w:eastAsia="ja-JP"/>
        </w:rPr>
        <w:t>2</w:t>
      </w:r>
      <w:r w:rsidRPr="00932D02">
        <w:rPr>
          <w:sz w:val="20"/>
          <w:szCs w:val="20"/>
          <w:lang w:val="en-US" w:eastAsia="ja-JP"/>
        </w:rPr>
        <w:t>]</w:t>
      </w:r>
      <w:r w:rsidRPr="00932D02">
        <w:rPr>
          <w:sz w:val="20"/>
          <w:szCs w:val="20"/>
          <w:lang w:val="en-US" w:eastAsia="ja-JP"/>
        </w:rPr>
        <w:fldChar w:fldCharType="end"/>
      </w:r>
      <w:r w:rsidRPr="00932D02">
        <w:rPr>
          <w:sz w:val="20"/>
          <w:szCs w:val="20"/>
          <w:lang w:val="en-US" w:eastAsia="ja-JP"/>
        </w:rPr>
        <w:t xml:space="preserve">, is to use UE location information and provide further assistance information to assist cell (re)selection. For </w:t>
      </w:r>
      <w:r>
        <w:rPr>
          <w:sz w:val="20"/>
          <w:szCs w:val="20"/>
          <w:lang w:val="en-US" w:eastAsia="ja-JP"/>
        </w:rPr>
        <w:t xml:space="preserve">IoT </w:t>
      </w:r>
      <w:r w:rsidRPr="00932D02">
        <w:rPr>
          <w:sz w:val="20"/>
          <w:szCs w:val="20"/>
          <w:lang w:val="en-US" w:eastAsia="ja-JP"/>
        </w:rPr>
        <w:t>NTN</w:t>
      </w:r>
      <w:r>
        <w:rPr>
          <w:sz w:val="20"/>
          <w:szCs w:val="20"/>
          <w:lang w:val="en-US" w:eastAsia="ja-JP"/>
        </w:rPr>
        <w:t xml:space="preserve">, </w:t>
      </w:r>
      <w:r w:rsidRPr="00932D02">
        <w:rPr>
          <w:sz w:val="20"/>
          <w:szCs w:val="20"/>
          <w:lang w:val="en-US" w:eastAsia="ja-JP"/>
        </w:rPr>
        <w:t>the same recommendation</w:t>
      </w:r>
      <w:r>
        <w:rPr>
          <w:sz w:val="20"/>
          <w:szCs w:val="20"/>
          <w:lang w:val="en-US" w:eastAsia="ja-JP"/>
        </w:rPr>
        <w:t xml:space="preserve"> can be captured </w:t>
      </w:r>
      <w:r w:rsidRPr="00932D02">
        <w:rPr>
          <w:sz w:val="20"/>
          <w:szCs w:val="20"/>
          <w:lang w:val="en-US" w:eastAsia="ja-JP"/>
        </w:rPr>
        <w:t xml:space="preserve">as the issue, although more severe, is of the same nature, provided that the new information introduced in NR has </w:t>
      </w:r>
      <w:proofErr w:type="gramStart"/>
      <w:r w:rsidRPr="00932D02">
        <w:rPr>
          <w:sz w:val="20"/>
          <w:szCs w:val="20"/>
          <w:lang w:val="en-US" w:eastAsia="ja-JP"/>
        </w:rPr>
        <w:t>sufficient</w:t>
      </w:r>
      <w:proofErr w:type="gramEnd"/>
      <w:r w:rsidRPr="00932D02">
        <w:rPr>
          <w:sz w:val="20"/>
          <w:szCs w:val="20"/>
          <w:lang w:val="en-US" w:eastAsia="ja-JP"/>
        </w:rPr>
        <w:t xml:space="preserve"> precision to work as expected for NB-IoT and LTE-M.</w:t>
      </w:r>
    </w:p>
    <w:p w14:paraId="51E9643D" w14:textId="77777777" w:rsidR="00CF133F" w:rsidRPr="00987105" w:rsidRDefault="00CF133F" w:rsidP="00CF133F">
      <w:pPr>
        <w:pStyle w:val="BodyText"/>
        <w:rPr>
          <w:sz w:val="20"/>
          <w:szCs w:val="20"/>
        </w:rPr>
      </w:pPr>
    </w:p>
    <w:p w14:paraId="21377900" w14:textId="3AD935C8" w:rsidR="001A25CF" w:rsidRPr="00CF133F" w:rsidRDefault="00CF133F" w:rsidP="00CF133F">
      <w:pPr>
        <w:pStyle w:val="Observation"/>
        <w:rPr>
          <w:sz w:val="20"/>
          <w:szCs w:val="20"/>
        </w:rPr>
      </w:pPr>
      <w:bookmarkStart w:id="3" w:name="_Toc61223884"/>
      <w:r w:rsidRPr="006668F3">
        <w:rPr>
          <w:sz w:val="20"/>
          <w:szCs w:val="20"/>
        </w:rPr>
        <w:t xml:space="preserve">The </w:t>
      </w:r>
      <w:r>
        <w:rPr>
          <w:sz w:val="20"/>
          <w:szCs w:val="20"/>
          <w:lang w:val="en-US"/>
        </w:rPr>
        <w:t>c</w:t>
      </w:r>
      <w:r w:rsidRPr="00932D02">
        <w:rPr>
          <w:sz w:val="20"/>
          <w:szCs w:val="20"/>
          <w:lang w:val="en-US"/>
        </w:rPr>
        <w:t xml:space="preserve">ell </w:t>
      </w:r>
      <w:r>
        <w:rPr>
          <w:sz w:val="20"/>
          <w:szCs w:val="20"/>
          <w:lang w:val="en-US"/>
        </w:rPr>
        <w:t>s</w:t>
      </w:r>
      <w:r w:rsidRPr="00932D02">
        <w:rPr>
          <w:sz w:val="20"/>
          <w:szCs w:val="20"/>
          <w:lang w:val="en-US"/>
        </w:rPr>
        <w:t>election/</w:t>
      </w:r>
      <w:r>
        <w:rPr>
          <w:sz w:val="20"/>
          <w:szCs w:val="20"/>
          <w:lang w:val="en-US"/>
        </w:rPr>
        <w:t>r</w:t>
      </w:r>
      <w:r w:rsidRPr="00932D02">
        <w:rPr>
          <w:sz w:val="20"/>
          <w:szCs w:val="20"/>
          <w:lang w:val="en-US"/>
        </w:rPr>
        <w:t xml:space="preserve">eselection procedures </w:t>
      </w:r>
      <w:r>
        <w:rPr>
          <w:sz w:val="20"/>
          <w:szCs w:val="20"/>
          <w:lang w:val="en-US"/>
        </w:rPr>
        <w:t xml:space="preserve">for LTE are quite </w:t>
      </w:r>
      <w:proofErr w:type="gramStart"/>
      <w:r w:rsidRPr="00932D02">
        <w:rPr>
          <w:sz w:val="20"/>
          <w:szCs w:val="20"/>
          <w:lang w:val="en-US"/>
        </w:rPr>
        <w:t>similar to</w:t>
      </w:r>
      <w:proofErr w:type="gramEnd"/>
      <w:r w:rsidRPr="00932D02">
        <w:rPr>
          <w:sz w:val="20"/>
          <w:szCs w:val="20"/>
          <w:lang w:val="en-US"/>
        </w:rPr>
        <w:t xml:space="preserve"> the </w:t>
      </w:r>
      <w:r>
        <w:rPr>
          <w:sz w:val="20"/>
          <w:szCs w:val="20"/>
          <w:lang w:val="en-US"/>
        </w:rPr>
        <w:t xml:space="preserve">procedures in </w:t>
      </w:r>
      <w:r w:rsidRPr="00932D02">
        <w:rPr>
          <w:sz w:val="20"/>
          <w:szCs w:val="20"/>
          <w:lang w:val="en-US"/>
        </w:rPr>
        <w:t>NR</w:t>
      </w:r>
      <w:r w:rsidRPr="006668F3">
        <w:rPr>
          <w:sz w:val="20"/>
          <w:szCs w:val="20"/>
        </w:rPr>
        <w:t>.</w:t>
      </w:r>
      <w:bookmarkEnd w:id="3"/>
    </w:p>
    <w:p w14:paraId="3BA206BD" w14:textId="77777777" w:rsidR="00CF133F" w:rsidRDefault="00CF133F" w:rsidP="001A25CF">
      <w:pPr>
        <w:pStyle w:val="Observation"/>
        <w:numPr>
          <w:ilvl w:val="0"/>
          <w:numId w:val="0"/>
        </w:numPr>
      </w:pPr>
    </w:p>
    <w:p w14:paraId="6829C1B9" w14:textId="767A9035" w:rsidR="001A25CF" w:rsidRPr="00987105" w:rsidRDefault="001A25CF" w:rsidP="001A25CF">
      <w:pPr>
        <w:pStyle w:val="Proposal"/>
        <w:tabs>
          <w:tab w:val="clear" w:pos="1304"/>
        </w:tabs>
        <w:ind w:left="1701" w:hanging="1701"/>
        <w:rPr>
          <w:sz w:val="20"/>
          <w:szCs w:val="20"/>
        </w:rPr>
      </w:pPr>
      <w:bookmarkStart w:id="4" w:name="_Toc61223913"/>
      <w:r>
        <w:rPr>
          <w:rFonts w:cs="Arial"/>
          <w:sz w:val="20"/>
          <w:szCs w:val="20"/>
          <w:lang w:eastAsia="ja-JP"/>
        </w:rPr>
        <w:t>S</w:t>
      </w:r>
      <w:r w:rsidRPr="00932D02">
        <w:rPr>
          <w:rFonts w:cs="Arial"/>
          <w:sz w:val="20"/>
          <w:szCs w:val="20"/>
          <w:lang w:val="en-US" w:eastAsia="ja-JP"/>
        </w:rPr>
        <w:t xml:space="preserve">ame cell (re)selection enhancements as in NR NTN </w:t>
      </w:r>
      <w:r>
        <w:rPr>
          <w:rFonts w:cs="Arial"/>
          <w:sz w:val="20"/>
          <w:szCs w:val="20"/>
          <w:lang w:val="en-US" w:eastAsia="ja-JP"/>
        </w:rPr>
        <w:t xml:space="preserve">are adopted </w:t>
      </w:r>
      <w:r w:rsidRPr="00932D02">
        <w:rPr>
          <w:rFonts w:cs="Arial"/>
          <w:sz w:val="20"/>
          <w:szCs w:val="20"/>
          <w:lang w:val="en-US" w:eastAsia="ja-JP"/>
        </w:rPr>
        <w:t xml:space="preserve">ensuring they provide </w:t>
      </w:r>
      <w:proofErr w:type="gramStart"/>
      <w:r w:rsidRPr="00932D02">
        <w:rPr>
          <w:rFonts w:cs="Arial"/>
          <w:sz w:val="20"/>
          <w:szCs w:val="20"/>
          <w:lang w:val="en-US" w:eastAsia="ja-JP"/>
        </w:rPr>
        <w:t>sufficient</w:t>
      </w:r>
      <w:proofErr w:type="gramEnd"/>
      <w:r w:rsidRPr="00932D02">
        <w:rPr>
          <w:rFonts w:cs="Arial"/>
          <w:sz w:val="20"/>
          <w:szCs w:val="20"/>
          <w:lang w:val="en-US" w:eastAsia="ja-JP"/>
        </w:rPr>
        <w:t xml:space="preserve"> precision for LTE-M and NB-IoT</w:t>
      </w:r>
      <w:r w:rsidRPr="006668F3">
        <w:rPr>
          <w:sz w:val="20"/>
          <w:szCs w:val="20"/>
        </w:rPr>
        <w:t>.</w:t>
      </w:r>
      <w:bookmarkEnd w:id="4"/>
    </w:p>
    <w:p w14:paraId="24F9D669" w14:textId="77777777" w:rsidR="001A25CF" w:rsidRDefault="001A25CF" w:rsidP="001A25CF">
      <w:pPr>
        <w:pStyle w:val="Observation"/>
        <w:numPr>
          <w:ilvl w:val="0"/>
          <w:numId w:val="0"/>
        </w:numPr>
      </w:pPr>
    </w:p>
    <w:p w14:paraId="3874AF1C" w14:textId="3EEF7564" w:rsidR="001A25CF" w:rsidRPr="00932D02" w:rsidRDefault="001A25CF" w:rsidP="001A25CF">
      <w:pPr>
        <w:pStyle w:val="BodyText"/>
        <w:rPr>
          <w:rFonts w:cs="Arial"/>
          <w:sz w:val="20"/>
          <w:szCs w:val="20"/>
          <w:lang w:val="en-US" w:eastAsia="ja-JP"/>
        </w:rPr>
      </w:pPr>
      <w:r w:rsidRPr="00932D02">
        <w:rPr>
          <w:rFonts w:cs="Arial"/>
          <w:sz w:val="20"/>
          <w:szCs w:val="20"/>
          <w:lang w:val="en-US" w:eastAsia="ja-JP"/>
        </w:rPr>
        <w:t xml:space="preserve">Moreover, LTE-M and NB-IoT use further RSRP/RSRQ threshold to determine the </w:t>
      </w:r>
      <w:r>
        <w:rPr>
          <w:rFonts w:cs="Arial"/>
          <w:sz w:val="20"/>
          <w:szCs w:val="20"/>
          <w:lang w:val="en-US" w:eastAsia="ja-JP"/>
        </w:rPr>
        <w:t>c</w:t>
      </w:r>
      <w:r w:rsidRPr="00932D02">
        <w:rPr>
          <w:rFonts w:cs="Arial"/>
          <w:sz w:val="20"/>
          <w:szCs w:val="20"/>
          <w:lang w:val="en-US" w:eastAsia="ja-JP"/>
        </w:rPr>
        <w:t xml:space="preserve">overage </w:t>
      </w:r>
      <w:r>
        <w:rPr>
          <w:rFonts w:cs="Arial"/>
          <w:sz w:val="20"/>
          <w:szCs w:val="20"/>
          <w:lang w:val="en-US" w:eastAsia="ja-JP"/>
        </w:rPr>
        <w:t>e</w:t>
      </w:r>
      <w:r w:rsidRPr="00932D02">
        <w:rPr>
          <w:rFonts w:cs="Arial"/>
          <w:sz w:val="20"/>
          <w:szCs w:val="20"/>
          <w:lang w:val="en-US" w:eastAsia="ja-JP"/>
        </w:rPr>
        <w:t xml:space="preserve">nhancement (CE) mode to be used within the cell. This feature is not present in NR, so there is no specific recommendation in </w:t>
      </w:r>
      <w:r w:rsidRPr="00932D02">
        <w:rPr>
          <w:rFonts w:cs="Arial"/>
          <w:sz w:val="20"/>
          <w:szCs w:val="20"/>
          <w:lang w:val="en-US" w:eastAsia="ja-JP"/>
        </w:rPr>
        <w:fldChar w:fldCharType="begin"/>
      </w:r>
      <w:r w:rsidRPr="00932D02">
        <w:rPr>
          <w:rFonts w:cs="Arial"/>
          <w:sz w:val="20"/>
          <w:szCs w:val="20"/>
          <w:lang w:val="en-US" w:eastAsia="ja-JP"/>
        </w:rPr>
        <w:instrText xml:space="preserve"> REF _Ref45301066 \r \h  \* MERGEFORMAT </w:instrText>
      </w:r>
      <w:r w:rsidRPr="00932D02">
        <w:rPr>
          <w:rFonts w:cs="Arial"/>
          <w:sz w:val="20"/>
          <w:szCs w:val="20"/>
          <w:lang w:val="en-US" w:eastAsia="ja-JP"/>
        </w:rPr>
      </w:r>
      <w:r w:rsidRPr="00932D02">
        <w:rPr>
          <w:rFonts w:cs="Arial"/>
          <w:sz w:val="20"/>
          <w:szCs w:val="20"/>
          <w:lang w:val="en-US" w:eastAsia="ja-JP"/>
        </w:rPr>
        <w:fldChar w:fldCharType="separate"/>
      </w:r>
      <w:r w:rsidRPr="00932D02">
        <w:rPr>
          <w:rFonts w:cs="Arial"/>
          <w:sz w:val="20"/>
          <w:szCs w:val="20"/>
          <w:lang w:val="en-US" w:eastAsia="ja-JP"/>
        </w:rPr>
        <w:t>[</w:t>
      </w:r>
      <w:r>
        <w:rPr>
          <w:rFonts w:cs="Arial"/>
          <w:sz w:val="20"/>
          <w:szCs w:val="20"/>
          <w:lang w:val="en-US" w:eastAsia="ja-JP"/>
        </w:rPr>
        <w:t>2</w:t>
      </w:r>
      <w:r w:rsidRPr="00932D02">
        <w:rPr>
          <w:rFonts w:cs="Arial"/>
          <w:sz w:val="20"/>
          <w:szCs w:val="20"/>
          <w:lang w:val="en-US" w:eastAsia="ja-JP"/>
        </w:rPr>
        <w:t>]</w:t>
      </w:r>
      <w:r w:rsidRPr="00932D02">
        <w:rPr>
          <w:rFonts w:cs="Arial"/>
          <w:sz w:val="20"/>
          <w:szCs w:val="20"/>
          <w:lang w:val="en-US" w:eastAsia="ja-JP"/>
        </w:rPr>
        <w:fldChar w:fldCharType="end"/>
      </w:r>
      <w:r w:rsidRPr="00932D02">
        <w:rPr>
          <w:rFonts w:cs="Arial"/>
          <w:sz w:val="20"/>
          <w:szCs w:val="20"/>
          <w:lang w:val="en-US" w:eastAsia="ja-JP"/>
        </w:rPr>
        <w:t>.</w:t>
      </w:r>
    </w:p>
    <w:bookmarkEnd w:id="2"/>
    <w:p w14:paraId="10BDE854" w14:textId="12B59EEF" w:rsidR="001A25CF" w:rsidRDefault="001A25CF" w:rsidP="00987105">
      <w:pPr>
        <w:pStyle w:val="Observation"/>
        <w:numPr>
          <w:ilvl w:val="0"/>
          <w:numId w:val="0"/>
        </w:numPr>
      </w:pPr>
    </w:p>
    <w:p w14:paraId="5446AF03" w14:textId="77777777" w:rsidR="001A25CF" w:rsidRDefault="001A25CF" w:rsidP="001A25CF">
      <w:pPr>
        <w:pStyle w:val="Heading2"/>
        <w:rPr>
          <w:lang w:val="en-US"/>
        </w:rPr>
      </w:pPr>
      <w:r>
        <w:rPr>
          <w:lang w:val="en-US"/>
        </w:rPr>
        <w:lastRenderedPageBreak/>
        <w:t>3.2</w:t>
      </w:r>
      <w:r>
        <w:rPr>
          <w:lang w:val="en-US"/>
        </w:rPr>
        <w:tab/>
        <w:t>Connected mode mobility</w:t>
      </w:r>
    </w:p>
    <w:p w14:paraId="36B4EB9E" w14:textId="4B1D1A18" w:rsidR="001A25CF" w:rsidRPr="00FF3D11" w:rsidRDefault="001A25CF" w:rsidP="001A25CF">
      <w:pPr>
        <w:jc w:val="both"/>
        <w:rPr>
          <w:rFonts w:ascii="Arial" w:hAnsi="Arial" w:cs="Arial"/>
          <w:sz w:val="20"/>
          <w:szCs w:val="20"/>
          <w:lang w:val="en-US"/>
        </w:rPr>
      </w:pPr>
      <w:r w:rsidRPr="00FF3D11">
        <w:rPr>
          <w:rFonts w:ascii="Arial" w:hAnsi="Arial" w:cs="Arial"/>
          <w:sz w:val="20"/>
          <w:szCs w:val="20"/>
          <w:lang w:val="en-US"/>
        </w:rPr>
        <w:t>NB-IoT does not support connected mode mobility, so the discussion in this section is not applicable. LTE-M</w:t>
      </w:r>
      <w:r>
        <w:rPr>
          <w:rFonts w:ascii="Arial" w:hAnsi="Arial" w:cs="Arial"/>
          <w:sz w:val="20"/>
          <w:szCs w:val="20"/>
          <w:lang w:val="en-US"/>
        </w:rPr>
        <w:t xml:space="preserve">, on the other hand, </w:t>
      </w:r>
      <w:r w:rsidRPr="00FF3D11">
        <w:rPr>
          <w:rFonts w:ascii="Arial" w:hAnsi="Arial" w:cs="Arial"/>
          <w:sz w:val="20"/>
          <w:szCs w:val="20"/>
          <w:lang w:val="en-US"/>
        </w:rPr>
        <w:t>support</w:t>
      </w:r>
      <w:r>
        <w:rPr>
          <w:rFonts w:ascii="Arial" w:hAnsi="Arial" w:cs="Arial"/>
          <w:sz w:val="20"/>
          <w:szCs w:val="20"/>
          <w:lang w:val="en-US"/>
        </w:rPr>
        <w:t>s</w:t>
      </w:r>
      <w:r w:rsidRPr="00FF3D11">
        <w:rPr>
          <w:rFonts w:ascii="Arial" w:hAnsi="Arial" w:cs="Arial"/>
          <w:sz w:val="20"/>
          <w:szCs w:val="20"/>
          <w:lang w:val="en-US"/>
        </w:rPr>
        <w:t xml:space="preserve"> connected mode mobility, and it relies on the LTE/NR framework for measurements and handover. So, as in the case of idle mode mobility, it seems reasonable to use the </w:t>
      </w:r>
      <w:r>
        <w:rPr>
          <w:rFonts w:ascii="Arial" w:hAnsi="Arial" w:cs="Arial"/>
          <w:sz w:val="20"/>
          <w:szCs w:val="20"/>
          <w:lang w:val="en-US"/>
        </w:rPr>
        <w:t>recommendations</w:t>
      </w:r>
      <w:r w:rsidRPr="00FF3D11">
        <w:rPr>
          <w:rFonts w:ascii="Arial" w:hAnsi="Arial" w:cs="Arial"/>
          <w:sz w:val="20"/>
          <w:szCs w:val="20"/>
          <w:lang w:val="en-US"/>
        </w:rPr>
        <w:t xml:space="preserve"> from </w:t>
      </w:r>
      <w:r w:rsidRPr="00FF3D11">
        <w:rPr>
          <w:rFonts w:ascii="Arial" w:hAnsi="Arial" w:cs="Arial"/>
          <w:sz w:val="20"/>
          <w:szCs w:val="20"/>
          <w:lang w:val="en-US"/>
        </w:rPr>
        <w:fldChar w:fldCharType="begin"/>
      </w:r>
      <w:r w:rsidRPr="00FF3D11">
        <w:rPr>
          <w:rFonts w:ascii="Arial" w:hAnsi="Arial" w:cs="Arial"/>
          <w:sz w:val="20"/>
          <w:szCs w:val="20"/>
          <w:lang w:val="en-US"/>
        </w:rPr>
        <w:instrText xml:space="preserve"> REF _Ref45301066 \n \h  \* MERGEFORMAT </w:instrText>
      </w:r>
      <w:r w:rsidRPr="00FF3D11">
        <w:rPr>
          <w:rFonts w:ascii="Arial" w:hAnsi="Arial" w:cs="Arial"/>
          <w:sz w:val="20"/>
          <w:szCs w:val="20"/>
          <w:lang w:val="en-US"/>
        </w:rPr>
      </w:r>
      <w:r w:rsidRPr="00FF3D11">
        <w:rPr>
          <w:rFonts w:ascii="Arial" w:hAnsi="Arial" w:cs="Arial"/>
          <w:sz w:val="20"/>
          <w:szCs w:val="20"/>
          <w:lang w:val="en-US"/>
        </w:rPr>
        <w:fldChar w:fldCharType="separate"/>
      </w:r>
      <w:r w:rsidRPr="00FF3D11">
        <w:rPr>
          <w:rFonts w:ascii="Arial" w:hAnsi="Arial" w:cs="Arial"/>
          <w:sz w:val="20"/>
          <w:szCs w:val="20"/>
          <w:lang w:val="en-US"/>
        </w:rPr>
        <w:t>[</w:t>
      </w:r>
      <w:r w:rsidR="00E6447E">
        <w:rPr>
          <w:rFonts w:ascii="Arial" w:hAnsi="Arial" w:cs="Arial"/>
          <w:sz w:val="20"/>
          <w:szCs w:val="20"/>
          <w:lang w:val="en-US"/>
        </w:rPr>
        <w:t>2</w:t>
      </w:r>
      <w:r w:rsidRPr="00FF3D11">
        <w:rPr>
          <w:rFonts w:ascii="Arial" w:hAnsi="Arial" w:cs="Arial"/>
          <w:sz w:val="20"/>
          <w:szCs w:val="20"/>
          <w:lang w:val="en-US"/>
        </w:rPr>
        <w:t>]</w:t>
      </w:r>
      <w:r w:rsidRPr="00FF3D11">
        <w:rPr>
          <w:rFonts w:ascii="Arial" w:hAnsi="Arial" w:cs="Arial"/>
          <w:sz w:val="20"/>
          <w:szCs w:val="20"/>
          <w:lang w:val="en-US"/>
        </w:rPr>
        <w:fldChar w:fldCharType="end"/>
      </w:r>
      <w:r w:rsidRPr="00FF3D11">
        <w:rPr>
          <w:rFonts w:ascii="Arial" w:hAnsi="Arial" w:cs="Arial"/>
          <w:sz w:val="20"/>
          <w:szCs w:val="20"/>
          <w:lang w:val="en-US"/>
        </w:rPr>
        <w:t xml:space="preserve"> as baseline. </w:t>
      </w:r>
    </w:p>
    <w:p w14:paraId="55BFEAF5" w14:textId="3CD0F699" w:rsidR="001A25CF" w:rsidRPr="00FF3D11" w:rsidRDefault="001A25CF" w:rsidP="001A25CF">
      <w:pPr>
        <w:jc w:val="both"/>
        <w:rPr>
          <w:rFonts w:ascii="Arial" w:hAnsi="Arial" w:cs="Arial"/>
          <w:sz w:val="20"/>
          <w:szCs w:val="20"/>
          <w:lang w:val="en-US"/>
        </w:rPr>
      </w:pPr>
      <w:r w:rsidRPr="00FF3D11">
        <w:rPr>
          <w:rFonts w:ascii="Arial" w:hAnsi="Arial" w:cs="Arial"/>
          <w:sz w:val="20"/>
          <w:szCs w:val="20"/>
          <w:lang w:val="en-US"/>
        </w:rPr>
        <w:t xml:space="preserve">Concerning connected mode mobility, </w:t>
      </w:r>
      <w:r w:rsidRPr="00FF3D11">
        <w:rPr>
          <w:rFonts w:ascii="Arial" w:hAnsi="Arial" w:cs="Arial"/>
          <w:sz w:val="20"/>
          <w:szCs w:val="20"/>
          <w:lang w:val="en-US"/>
        </w:rPr>
        <w:fldChar w:fldCharType="begin"/>
      </w:r>
      <w:r w:rsidRPr="00FF3D11">
        <w:rPr>
          <w:rFonts w:ascii="Arial" w:hAnsi="Arial" w:cs="Arial"/>
          <w:sz w:val="20"/>
          <w:szCs w:val="20"/>
          <w:lang w:val="en-US"/>
        </w:rPr>
        <w:instrText xml:space="preserve"> REF _Ref45301066 \n \h  \* MERGEFORMAT </w:instrText>
      </w:r>
      <w:r w:rsidRPr="00FF3D11">
        <w:rPr>
          <w:rFonts w:ascii="Arial" w:hAnsi="Arial" w:cs="Arial"/>
          <w:sz w:val="20"/>
          <w:szCs w:val="20"/>
          <w:lang w:val="en-US"/>
        </w:rPr>
      </w:r>
      <w:r w:rsidRPr="00FF3D11">
        <w:rPr>
          <w:rFonts w:ascii="Arial" w:hAnsi="Arial" w:cs="Arial"/>
          <w:sz w:val="20"/>
          <w:szCs w:val="20"/>
          <w:lang w:val="en-US"/>
        </w:rPr>
        <w:fldChar w:fldCharType="separate"/>
      </w:r>
      <w:r w:rsidRPr="00FF3D11">
        <w:rPr>
          <w:rFonts w:ascii="Arial" w:hAnsi="Arial" w:cs="Arial"/>
          <w:sz w:val="20"/>
          <w:szCs w:val="20"/>
          <w:lang w:val="en-US"/>
        </w:rPr>
        <w:t>[</w:t>
      </w:r>
      <w:r w:rsidR="00E6447E">
        <w:rPr>
          <w:rFonts w:ascii="Arial" w:hAnsi="Arial" w:cs="Arial"/>
          <w:sz w:val="20"/>
          <w:szCs w:val="20"/>
          <w:lang w:val="en-US"/>
        </w:rPr>
        <w:t>2</w:t>
      </w:r>
      <w:r w:rsidRPr="00FF3D11">
        <w:rPr>
          <w:rFonts w:ascii="Arial" w:hAnsi="Arial" w:cs="Arial"/>
          <w:sz w:val="20"/>
          <w:szCs w:val="20"/>
          <w:lang w:val="en-US"/>
        </w:rPr>
        <w:t>]</w:t>
      </w:r>
      <w:r w:rsidRPr="00FF3D11">
        <w:rPr>
          <w:rFonts w:ascii="Arial" w:hAnsi="Arial" w:cs="Arial"/>
          <w:sz w:val="20"/>
          <w:szCs w:val="20"/>
          <w:lang w:val="en-US"/>
        </w:rPr>
        <w:fldChar w:fldCharType="end"/>
      </w:r>
      <w:r w:rsidRPr="00FF3D11">
        <w:rPr>
          <w:rFonts w:ascii="Arial" w:hAnsi="Arial" w:cs="Arial"/>
          <w:sz w:val="20"/>
          <w:szCs w:val="20"/>
          <w:lang w:val="en-US"/>
        </w:rPr>
        <w:t xml:space="preserve"> recommends specifying the following enhancements:</w:t>
      </w:r>
    </w:p>
    <w:p w14:paraId="3EA59BAF" w14:textId="77777777" w:rsidR="001A25CF" w:rsidRPr="00FF3D11" w:rsidRDefault="001A25CF" w:rsidP="001A25CF">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reduce service interruption during Hand-Over due to large propagation delay (especially in the case of GEO transparent)</w:t>
      </w:r>
    </w:p>
    <w:p w14:paraId="72526AE1" w14:textId="77777777" w:rsidR="001A25CF" w:rsidRPr="00FF3D11" w:rsidRDefault="001A25CF" w:rsidP="001A25CF">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tackle frequent handover and high handover rate due to satellite movement (e.g. LEO NTN)</w:t>
      </w:r>
    </w:p>
    <w:p w14:paraId="5EDB1F90" w14:textId="77777777" w:rsidR="001A25CF" w:rsidRPr="00FF3D11" w:rsidRDefault="001A25CF" w:rsidP="001A25CF">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improve handover robustness due to small signal strength variation in regions of beam overlap</w:t>
      </w:r>
    </w:p>
    <w:p w14:paraId="1756D1D3" w14:textId="77777777" w:rsidR="001A25CF" w:rsidRPr="00FF3D11" w:rsidRDefault="001A25CF" w:rsidP="001A25CF">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compensate for propagation delay differences in the UE measurement window between cells originating from different satellites, especially for LEO NTN</w:t>
      </w:r>
    </w:p>
    <w:p w14:paraId="78BC3E73" w14:textId="3435C53D" w:rsidR="001A25CF" w:rsidRDefault="001A25CF" w:rsidP="001A25CF">
      <w:pPr>
        <w:jc w:val="both"/>
        <w:rPr>
          <w:rFonts w:ascii="Arial" w:hAnsi="Arial" w:cs="Arial"/>
          <w:sz w:val="20"/>
          <w:szCs w:val="20"/>
          <w:lang w:val="en-US"/>
        </w:rPr>
      </w:pPr>
      <w:r w:rsidRPr="00FF3D11">
        <w:rPr>
          <w:rFonts w:ascii="Arial" w:hAnsi="Arial" w:cs="Arial"/>
          <w:sz w:val="20"/>
          <w:szCs w:val="20"/>
          <w:lang w:val="en-US"/>
        </w:rPr>
        <w:t xml:space="preserve">The first three items are equally applicable to </w:t>
      </w:r>
      <w:r w:rsidR="00E6447E">
        <w:rPr>
          <w:rFonts w:ascii="Arial" w:hAnsi="Arial" w:cs="Arial"/>
          <w:sz w:val="20"/>
          <w:szCs w:val="20"/>
          <w:lang w:val="en-US"/>
        </w:rPr>
        <w:t xml:space="preserve">IoT </w:t>
      </w:r>
      <w:r w:rsidRPr="00FF3D11">
        <w:rPr>
          <w:rFonts w:ascii="Arial" w:hAnsi="Arial" w:cs="Arial"/>
          <w:sz w:val="20"/>
          <w:szCs w:val="20"/>
          <w:lang w:val="en-US"/>
        </w:rPr>
        <w:t xml:space="preserve">NTN IoT, so it seems reasonable to monitor progress in the NTN NR WI and adopt </w:t>
      </w:r>
      <w:r w:rsidR="00E6447E">
        <w:rPr>
          <w:rFonts w:ascii="Arial" w:hAnsi="Arial" w:cs="Arial"/>
          <w:sz w:val="20"/>
          <w:szCs w:val="20"/>
          <w:lang w:val="en-US"/>
        </w:rPr>
        <w:t xml:space="preserve">the </w:t>
      </w:r>
      <w:r w:rsidRPr="00FF3D11">
        <w:rPr>
          <w:rFonts w:ascii="Arial" w:hAnsi="Arial" w:cs="Arial"/>
          <w:sz w:val="20"/>
          <w:szCs w:val="20"/>
          <w:lang w:val="en-US"/>
        </w:rPr>
        <w:t>enhancements specified for NTN IoT</w:t>
      </w:r>
      <w:r w:rsidR="00E6447E">
        <w:rPr>
          <w:rFonts w:ascii="Arial" w:hAnsi="Arial" w:cs="Arial"/>
          <w:sz w:val="20"/>
          <w:szCs w:val="20"/>
          <w:lang w:val="en-US"/>
        </w:rPr>
        <w:t>, if needed</w:t>
      </w:r>
      <w:r w:rsidRPr="00FF3D11">
        <w:rPr>
          <w:rFonts w:ascii="Arial" w:hAnsi="Arial" w:cs="Arial"/>
          <w:sz w:val="20"/>
          <w:szCs w:val="20"/>
          <w:lang w:val="en-US"/>
        </w:rPr>
        <w:t>.</w:t>
      </w:r>
    </w:p>
    <w:p w14:paraId="68B4C7D2" w14:textId="77777777" w:rsidR="001A25CF" w:rsidRPr="00FF3D11" w:rsidRDefault="001A25CF" w:rsidP="001A25CF">
      <w:pPr>
        <w:jc w:val="both"/>
        <w:rPr>
          <w:rFonts w:ascii="Arial" w:hAnsi="Arial" w:cs="Arial"/>
          <w:sz w:val="20"/>
          <w:szCs w:val="20"/>
          <w:lang w:val="en-US"/>
        </w:rPr>
      </w:pPr>
      <w:r w:rsidRPr="00FF3D11">
        <w:rPr>
          <w:rFonts w:ascii="Arial" w:hAnsi="Arial" w:cs="Arial"/>
          <w:sz w:val="20"/>
          <w:szCs w:val="20"/>
          <w:lang w:val="en-US"/>
        </w:rPr>
        <w:t xml:space="preserve"> </w:t>
      </w:r>
    </w:p>
    <w:p w14:paraId="7A62C1D7" w14:textId="77777777" w:rsidR="001A25CF" w:rsidRPr="00FF3D11" w:rsidRDefault="001A25CF" w:rsidP="001A25CF">
      <w:pPr>
        <w:pStyle w:val="Proposal"/>
        <w:tabs>
          <w:tab w:val="clear" w:pos="1304"/>
          <w:tab w:val="num" w:pos="3005"/>
        </w:tabs>
        <w:ind w:left="1701" w:hanging="1701"/>
        <w:rPr>
          <w:rFonts w:cs="Arial"/>
          <w:sz w:val="20"/>
          <w:szCs w:val="20"/>
          <w:lang w:val="en-US"/>
        </w:rPr>
      </w:pPr>
      <w:bookmarkStart w:id="5" w:name="_Toc54313788"/>
      <w:bookmarkStart w:id="6" w:name="_Toc61223914"/>
      <w:r>
        <w:rPr>
          <w:rFonts w:cs="Arial"/>
          <w:sz w:val="20"/>
          <w:szCs w:val="20"/>
          <w:lang w:val="en-US"/>
        </w:rPr>
        <w:t xml:space="preserve">RAN2 to wait until changes </w:t>
      </w:r>
      <w:r w:rsidRPr="00FF3D11">
        <w:rPr>
          <w:rFonts w:cs="Arial"/>
          <w:sz w:val="20"/>
          <w:szCs w:val="20"/>
          <w:lang w:val="en-US"/>
        </w:rPr>
        <w:t xml:space="preserve">regarding service interruption during handover, high handover rate, and handover robustness </w:t>
      </w:r>
      <w:r>
        <w:rPr>
          <w:rFonts w:cs="Arial"/>
          <w:sz w:val="20"/>
          <w:szCs w:val="20"/>
          <w:lang w:val="en-US"/>
        </w:rPr>
        <w:t xml:space="preserve">are agreed </w:t>
      </w:r>
      <w:r w:rsidRPr="00FF3D11">
        <w:rPr>
          <w:rFonts w:cs="Arial"/>
          <w:sz w:val="20"/>
          <w:szCs w:val="20"/>
          <w:lang w:val="en-US"/>
        </w:rPr>
        <w:t>in the NTN NR, and adopt those for NTN IoT, if applicable.</w:t>
      </w:r>
      <w:bookmarkEnd w:id="5"/>
      <w:bookmarkEnd w:id="6"/>
    </w:p>
    <w:p w14:paraId="39B34D4B" w14:textId="77777777" w:rsidR="001A25CF" w:rsidRDefault="001A25CF" w:rsidP="001A25CF">
      <w:pPr>
        <w:jc w:val="both"/>
        <w:rPr>
          <w:rFonts w:ascii="Arial" w:hAnsi="Arial" w:cs="Arial"/>
          <w:sz w:val="20"/>
          <w:szCs w:val="20"/>
          <w:lang w:val="en-US"/>
        </w:rPr>
      </w:pPr>
    </w:p>
    <w:p w14:paraId="2EA8F736" w14:textId="77777777" w:rsidR="001A25CF" w:rsidRDefault="001A25CF" w:rsidP="001A25CF">
      <w:pPr>
        <w:jc w:val="both"/>
        <w:rPr>
          <w:rFonts w:ascii="Arial" w:hAnsi="Arial" w:cs="Arial"/>
          <w:sz w:val="20"/>
          <w:szCs w:val="20"/>
          <w:lang w:val="en-US"/>
        </w:rPr>
      </w:pPr>
      <w:r w:rsidRPr="00FF3D11">
        <w:rPr>
          <w:rFonts w:ascii="Arial" w:hAnsi="Arial" w:cs="Arial"/>
          <w:sz w:val="20"/>
          <w:szCs w:val="20"/>
          <w:lang w:val="en-US"/>
        </w:rPr>
        <w:t>Regarding the last item, while the SMTC window is inherent only to NR, the problem of propagation delay differences while measuring cells from different satellites exists also in LTE. Since the nature of the issue is very similar, a solution to be specified for NTN NR could be taken as baseline for NTN IoT.</w:t>
      </w:r>
    </w:p>
    <w:p w14:paraId="2320989A" w14:textId="77777777" w:rsidR="001A25CF" w:rsidRPr="00FF3D11" w:rsidRDefault="001A25CF" w:rsidP="001A25CF">
      <w:pPr>
        <w:jc w:val="both"/>
        <w:rPr>
          <w:rFonts w:ascii="Arial" w:hAnsi="Arial" w:cs="Arial"/>
          <w:sz w:val="20"/>
          <w:szCs w:val="20"/>
          <w:lang w:val="en-US"/>
        </w:rPr>
      </w:pPr>
    </w:p>
    <w:p w14:paraId="348B1873" w14:textId="622D1BBF" w:rsidR="001A25CF" w:rsidRPr="00FF3D11" w:rsidRDefault="00E6447E" w:rsidP="001A25CF">
      <w:pPr>
        <w:pStyle w:val="Proposal"/>
        <w:tabs>
          <w:tab w:val="clear" w:pos="1304"/>
          <w:tab w:val="num" w:pos="3005"/>
        </w:tabs>
        <w:ind w:left="1701" w:hanging="1701"/>
        <w:rPr>
          <w:rFonts w:cs="Arial"/>
          <w:sz w:val="20"/>
          <w:szCs w:val="20"/>
          <w:lang w:val="en-US"/>
        </w:rPr>
      </w:pPr>
      <w:bookmarkStart w:id="7" w:name="_Toc54313789"/>
      <w:bookmarkStart w:id="8" w:name="_Toc61223915"/>
      <w:r>
        <w:rPr>
          <w:rFonts w:cs="Arial"/>
          <w:sz w:val="20"/>
          <w:szCs w:val="20"/>
          <w:lang w:val="en-US"/>
        </w:rPr>
        <w:t>A</w:t>
      </w:r>
      <w:r w:rsidR="001A25CF">
        <w:rPr>
          <w:rFonts w:cs="Arial"/>
          <w:sz w:val="20"/>
          <w:szCs w:val="20"/>
          <w:lang w:val="en-US"/>
        </w:rPr>
        <w:t xml:space="preserve">ny changes concerning differences in propagation delays </w:t>
      </w:r>
      <w:r w:rsidR="001A25CF" w:rsidRPr="00FF3D11">
        <w:rPr>
          <w:rFonts w:cs="Arial"/>
          <w:sz w:val="20"/>
          <w:szCs w:val="20"/>
          <w:lang w:val="en-US"/>
        </w:rPr>
        <w:t>while measuring cells from different satellites</w:t>
      </w:r>
      <w:r w:rsidR="001A25CF">
        <w:rPr>
          <w:rFonts w:cs="Arial"/>
          <w:sz w:val="20"/>
          <w:szCs w:val="20"/>
          <w:lang w:val="en-US"/>
        </w:rPr>
        <w:t xml:space="preserve"> are considered </w:t>
      </w:r>
      <w:r w:rsidR="001A25CF" w:rsidRPr="00FF3D11">
        <w:rPr>
          <w:rFonts w:cs="Arial"/>
          <w:sz w:val="20"/>
          <w:szCs w:val="20"/>
          <w:lang w:val="en-US"/>
        </w:rPr>
        <w:t>as baseline for NTN IoT. FFS if adaptations are needed for NTN IoT.</w:t>
      </w:r>
      <w:bookmarkEnd w:id="7"/>
      <w:bookmarkEnd w:id="8"/>
    </w:p>
    <w:p w14:paraId="2BC5A498" w14:textId="77777777" w:rsidR="00E6447E" w:rsidRDefault="00E6447E" w:rsidP="001A25CF">
      <w:pPr>
        <w:jc w:val="both"/>
        <w:rPr>
          <w:rFonts w:ascii="Arial" w:hAnsi="Arial" w:cs="Arial"/>
          <w:sz w:val="20"/>
          <w:szCs w:val="20"/>
          <w:lang w:val="en-US"/>
        </w:rPr>
      </w:pPr>
    </w:p>
    <w:p w14:paraId="5735B8B6" w14:textId="6123406B" w:rsidR="001A25CF" w:rsidRPr="00FF3D11" w:rsidRDefault="001A25CF" w:rsidP="001A25CF">
      <w:pPr>
        <w:jc w:val="both"/>
        <w:rPr>
          <w:rFonts w:ascii="Arial" w:hAnsi="Arial" w:cs="Arial"/>
          <w:sz w:val="20"/>
          <w:szCs w:val="20"/>
          <w:lang w:val="en-US"/>
        </w:rPr>
      </w:pPr>
      <w:r w:rsidRPr="00FF3D11">
        <w:rPr>
          <w:rFonts w:ascii="Arial" w:hAnsi="Arial" w:cs="Arial"/>
          <w:sz w:val="20"/>
          <w:szCs w:val="20"/>
          <w:lang w:val="en-US"/>
        </w:rPr>
        <w:t xml:space="preserve">Another recommendation in </w:t>
      </w:r>
      <w:r w:rsidRPr="00FF3D11">
        <w:rPr>
          <w:rFonts w:ascii="Arial" w:hAnsi="Arial" w:cs="Arial"/>
          <w:sz w:val="20"/>
          <w:szCs w:val="20"/>
          <w:lang w:val="en-US"/>
        </w:rPr>
        <w:fldChar w:fldCharType="begin"/>
      </w:r>
      <w:r w:rsidRPr="00FF3D11">
        <w:rPr>
          <w:rFonts w:ascii="Arial" w:hAnsi="Arial" w:cs="Arial"/>
          <w:sz w:val="20"/>
          <w:szCs w:val="20"/>
          <w:lang w:val="en-US"/>
        </w:rPr>
        <w:instrText xml:space="preserve"> REF _Ref45301066 \n \h  \* MERGEFORMAT </w:instrText>
      </w:r>
      <w:r w:rsidRPr="00FF3D11">
        <w:rPr>
          <w:rFonts w:ascii="Arial" w:hAnsi="Arial" w:cs="Arial"/>
          <w:sz w:val="20"/>
          <w:szCs w:val="20"/>
          <w:lang w:val="en-US"/>
        </w:rPr>
      </w:r>
      <w:r w:rsidRPr="00FF3D11">
        <w:rPr>
          <w:rFonts w:ascii="Arial" w:hAnsi="Arial" w:cs="Arial"/>
          <w:sz w:val="20"/>
          <w:szCs w:val="20"/>
          <w:lang w:val="en-US"/>
        </w:rPr>
        <w:fldChar w:fldCharType="separate"/>
      </w:r>
      <w:r w:rsidRPr="00FF3D11">
        <w:rPr>
          <w:rFonts w:ascii="Arial" w:hAnsi="Arial" w:cs="Arial"/>
          <w:sz w:val="20"/>
          <w:szCs w:val="20"/>
          <w:lang w:val="en-US"/>
        </w:rPr>
        <w:t>[</w:t>
      </w:r>
      <w:r w:rsidR="00E6447E">
        <w:rPr>
          <w:rFonts w:ascii="Arial" w:hAnsi="Arial" w:cs="Arial"/>
          <w:sz w:val="20"/>
          <w:szCs w:val="20"/>
          <w:lang w:val="en-US"/>
        </w:rPr>
        <w:t>2</w:t>
      </w:r>
      <w:r w:rsidRPr="00FF3D11">
        <w:rPr>
          <w:rFonts w:ascii="Arial" w:hAnsi="Arial" w:cs="Arial"/>
          <w:sz w:val="20"/>
          <w:szCs w:val="20"/>
          <w:lang w:val="en-US"/>
        </w:rPr>
        <w:t>]</w:t>
      </w:r>
      <w:r w:rsidRPr="00FF3D11">
        <w:rPr>
          <w:rFonts w:ascii="Arial" w:hAnsi="Arial" w:cs="Arial"/>
          <w:sz w:val="20"/>
          <w:szCs w:val="20"/>
          <w:lang w:val="en-US"/>
        </w:rPr>
        <w:fldChar w:fldCharType="end"/>
      </w:r>
      <w:r w:rsidRPr="00FF3D11">
        <w:rPr>
          <w:rFonts w:ascii="Arial" w:hAnsi="Arial" w:cs="Arial"/>
          <w:sz w:val="20"/>
          <w:szCs w:val="20"/>
          <w:lang w:val="en-US"/>
        </w:rPr>
        <w:t xml:space="preserve"> concerns enhancements of the triggering conditions for conditional handover (CHO), which was introduced to both LTE and NR in Rel-16:</w:t>
      </w:r>
    </w:p>
    <w:p w14:paraId="42FBFC27" w14:textId="77777777" w:rsidR="001A25CF" w:rsidRDefault="001A25CF" w:rsidP="001A25CF">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Additional CHO triggering conditions (e.g. location/time based), and adaptation of measurement-based thresholds and events to the NTN environment.</w:t>
      </w:r>
    </w:p>
    <w:p w14:paraId="58053C6F" w14:textId="5AA79EF0" w:rsidR="001A25CF" w:rsidRDefault="001A25CF" w:rsidP="00FC212C">
      <w:pPr>
        <w:pStyle w:val="B2"/>
        <w:ind w:left="0" w:firstLine="0"/>
        <w:rPr>
          <w:rFonts w:ascii="Arial" w:hAnsi="Arial" w:cs="Arial"/>
          <w:sz w:val="20"/>
          <w:szCs w:val="20"/>
          <w:lang w:val="en-US"/>
        </w:rPr>
      </w:pPr>
    </w:p>
    <w:p w14:paraId="06AD4022" w14:textId="09A11B19" w:rsidR="00FC212C" w:rsidRDefault="00FC212C" w:rsidP="00FC212C">
      <w:pPr>
        <w:pStyle w:val="BodyText"/>
        <w:rPr>
          <w:sz w:val="20"/>
          <w:szCs w:val="20"/>
        </w:rPr>
      </w:pPr>
      <w:r w:rsidRPr="00987105">
        <w:rPr>
          <w:sz w:val="20"/>
          <w:szCs w:val="20"/>
        </w:rPr>
        <w:t xml:space="preserve">Rel-17 IoT NTN </w:t>
      </w:r>
      <w:r>
        <w:rPr>
          <w:sz w:val="20"/>
          <w:szCs w:val="20"/>
        </w:rPr>
        <w:t xml:space="preserve">SI </w:t>
      </w:r>
      <w:r w:rsidRPr="00987105">
        <w:rPr>
          <w:sz w:val="20"/>
          <w:szCs w:val="20"/>
        </w:rPr>
        <w:t>should focus on essential adaptations to minimize additional network and UE complexity and benefit from the economy of scale of the existing IoT ecosystem. This also means that the enhancements should be limited to adapting eMTC and NB-IoT to NTN, while generic enhancements motivated by non-NTN are outside the scope.</w:t>
      </w:r>
    </w:p>
    <w:p w14:paraId="05300B3D" w14:textId="77777777" w:rsidR="00FC212C" w:rsidRPr="00987105" w:rsidRDefault="00FC212C" w:rsidP="00FC212C">
      <w:pPr>
        <w:pStyle w:val="BodyText"/>
        <w:rPr>
          <w:sz w:val="20"/>
          <w:szCs w:val="20"/>
        </w:rPr>
      </w:pPr>
    </w:p>
    <w:p w14:paraId="1F2BDB82" w14:textId="6EE20E7A" w:rsidR="00FC212C" w:rsidRPr="00CF133F" w:rsidRDefault="00FC212C" w:rsidP="00FC212C">
      <w:pPr>
        <w:pStyle w:val="Observation"/>
        <w:rPr>
          <w:sz w:val="20"/>
          <w:szCs w:val="20"/>
        </w:rPr>
      </w:pPr>
      <w:bookmarkStart w:id="9" w:name="_Toc61223885"/>
      <w:r w:rsidRPr="00987105">
        <w:rPr>
          <w:sz w:val="20"/>
          <w:szCs w:val="20"/>
        </w:rPr>
        <w:t>IoT NTN study should focus on essential adaptations for NTN, while generic enhancements motivated by non-NTN are outside the scope</w:t>
      </w:r>
      <w:r w:rsidRPr="006668F3">
        <w:rPr>
          <w:sz w:val="20"/>
          <w:szCs w:val="20"/>
        </w:rPr>
        <w:t>.</w:t>
      </w:r>
      <w:bookmarkEnd w:id="9"/>
    </w:p>
    <w:p w14:paraId="7090D47A" w14:textId="77777777" w:rsidR="00FC212C" w:rsidRDefault="00FC212C" w:rsidP="00FC212C">
      <w:pPr>
        <w:pStyle w:val="Observation"/>
        <w:numPr>
          <w:ilvl w:val="0"/>
          <w:numId w:val="0"/>
        </w:numPr>
      </w:pPr>
    </w:p>
    <w:p w14:paraId="04993918" w14:textId="77777777" w:rsidR="00FC212C" w:rsidRDefault="00FC212C" w:rsidP="00FC212C">
      <w:pPr>
        <w:pStyle w:val="BodyText"/>
        <w:rPr>
          <w:sz w:val="20"/>
          <w:szCs w:val="20"/>
        </w:rPr>
      </w:pPr>
    </w:p>
    <w:p w14:paraId="01E7BAF7" w14:textId="77777777" w:rsidR="00FC212C" w:rsidRPr="00987105" w:rsidRDefault="00FC212C" w:rsidP="00FC212C">
      <w:pPr>
        <w:pStyle w:val="Observation"/>
        <w:numPr>
          <w:ilvl w:val="0"/>
          <w:numId w:val="0"/>
        </w:numPr>
        <w:rPr>
          <w:sz w:val="20"/>
          <w:szCs w:val="20"/>
        </w:rPr>
      </w:pPr>
    </w:p>
    <w:p w14:paraId="34B9DD23" w14:textId="780503BA" w:rsidR="00FC212C" w:rsidRPr="00FC212C" w:rsidRDefault="00FC212C" w:rsidP="00FC212C">
      <w:pPr>
        <w:pStyle w:val="Proposal"/>
        <w:tabs>
          <w:tab w:val="clear" w:pos="1304"/>
        </w:tabs>
        <w:ind w:left="1701" w:hanging="1701"/>
        <w:rPr>
          <w:sz w:val="20"/>
          <w:szCs w:val="20"/>
        </w:rPr>
      </w:pPr>
      <w:bookmarkStart w:id="10" w:name="_Toc52219319"/>
      <w:bookmarkStart w:id="11" w:name="_Toc61216207"/>
      <w:bookmarkStart w:id="12" w:name="_Toc61223916"/>
      <w:r>
        <w:rPr>
          <w:sz w:val="20"/>
          <w:szCs w:val="20"/>
        </w:rPr>
        <w:lastRenderedPageBreak/>
        <w:t xml:space="preserve">Conditional handover is not specified for </w:t>
      </w:r>
      <w:r w:rsidRPr="00987105">
        <w:rPr>
          <w:sz w:val="20"/>
          <w:szCs w:val="20"/>
        </w:rPr>
        <w:t>IoT NTN.</w:t>
      </w:r>
      <w:bookmarkEnd w:id="10"/>
      <w:bookmarkEnd w:id="11"/>
      <w:bookmarkEnd w:id="12"/>
    </w:p>
    <w:p w14:paraId="29BFF6F7" w14:textId="77777777" w:rsidR="001A25CF" w:rsidRDefault="001A25CF" w:rsidP="00987105">
      <w:pPr>
        <w:pStyle w:val="Observation"/>
        <w:numPr>
          <w:ilvl w:val="0"/>
          <w:numId w:val="0"/>
        </w:numPr>
      </w:pPr>
    </w:p>
    <w:bookmarkEnd w:id="1"/>
    <w:p w14:paraId="1F1AC69A" w14:textId="5233A113" w:rsidR="00987105" w:rsidRPr="00CE0424" w:rsidRDefault="00987105" w:rsidP="00987105">
      <w:pPr>
        <w:pStyle w:val="Heading1"/>
      </w:pPr>
      <w:r>
        <w:t>4</w:t>
      </w:r>
      <w:r>
        <w:tab/>
        <w:t>Conclusion</w:t>
      </w:r>
    </w:p>
    <w:p w14:paraId="3C0C63AB" w14:textId="2C35EB02" w:rsidR="008E065E" w:rsidRDefault="00D61F85" w:rsidP="00987105">
      <w:pPr>
        <w:pStyle w:val="BodyText"/>
        <w:rPr>
          <w:b/>
          <w:bCs/>
          <w:sz w:val="20"/>
          <w:szCs w:val="20"/>
        </w:rPr>
      </w:pPr>
      <w:r w:rsidRPr="00987105">
        <w:rPr>
          <w:sz w:val="20"/>
          <w:szCs w:val="20"/>
          <w:lang w:val="en-US"/>
        </w:rPr>
        <w:t xml:space="preserve">In this contribution </w:t>
      </w:r>
      <w:r w:rsidRPr="00987105">
        <w:rPr>
          <w:sz w:val="20"/>
          <w:szCs w:val="20"/>
        </w:rPr>
        <w:t xml:space="preserve">we </w:t>
      </w:r>
      <w:r>
        <w:rPr>
          <w:sz w:val="20"/>
          <w:szCs w:val="20"/>
        </w:rPr>
        <w:t xml:space="preserve">have discussed </w:t>
      </w:r>
      <w:r w:rsidR="00711EE8" w:rsidRPr="00987105">
        <w:rPr>
          <w:sz w:val="20"/>
          <w:szCs w:val="20"/>
        </w:rPr>
        <w:t xml:space="preserve">the </w:t>
      </w:r>
      <w:r w:rsidR="00711EE8">
        <w:rPr>
          <w:sz w:val="20"/>
          <w:szCs w:val="20"/>
        </w:rPr>
        <w:t>idle and connected mode mobility for IoT NTN</w:t>
      </w:r>
      <w:r w:rsidRPr="00987105">
        <w:rPr>
          <w:sz w:val="20"/>
          <w:szCs w:val="20"/>
        </w:rPr>
        <w:t>.</w:t>
      </w:r>
      <w:r>
        <w:rPr>
          <w:sz w:val="20"/>
          <w:szCs w:val="20"/>
        </w:rPr>
        <w:t xml:space="preserve"> </w:t>
      </w:r>
      <w:r w:rsidR="008E065E" w:rsidRPr="00987105">
        <w:rPr>
          <w:sz w:val="20"/>
          <w:szCs w:val="20"/>
        </w:rPr>
        <w:t xml:space="preserve">In </w:t>
      </w:r>
      <w:r w:rsidR="007729A2" w:rsidRPr="00987105">
        <w:rPr>
          <w:sz w:val="20"/>
          <w:szCs w:val="20"/>
        </w:rPr>
        <w:t xml:space="preserve">the previous </w:t>
      </w:r>
      <w:r w:rsidR="008E065E" w:rsidRPr="00987105">
        <w:rPr>
          <w:sz w:val="20"/>
          <w:szCs w:val="20"/>
        </w:rPr>
        <w:t>section</w:t>
      </w:r>
      <w:r w:rsidR="007729A2" w:rsidRPr="00987105">
        <w:rPr>
          <w:sz w:val="20"/>
          <w:szCs w:val="20"/>
        </w:rPr>
        <w:t>s</w:t>
      </w:r>
      <w:r w:rsidR="008E065E" w:rsidRPr="00987105">
        <w:rPr>
          <w:sz w:val="20"/>
          <w:szCs w:val="20"/>
        </w:rPr>
        <w:t xml:space="preserve"> we made the following observations:</w:t>
      </w:r>
      <w:r w:rsidR="00C93814" w:rsidRPr="00987105">
        <w:rPr>
          <w:b/>
          <w:bCs/>
          <w:sz w:val="20"/>
          <w:szCs w:val="20"/>
        </w:rPr>
        <w:t xml:space="preserve"> </w:t>
      </w:r>
    </w:p>
    <w:p w14:paraId="4593CB10" w14:textId="77777777" w:rsidR="00DA72B2" w:rsidRPr="00987105" w:rsidRDefault="00DA72B2" w:rsidP="00987105">
      <w:pPr>
        <w:pStyle w:val="BodyText"/>
        <w:rPr>
          <w:b/>
          <w:bCs/>
          <w:sz w:val="20"/>
          <w:szCs w:val="20"/>
        </w:rPr>
      </w:pPr>
    </w:p>
    <w:p w14:paraId="574F19E7" w14:textId="77777777" w:rsidR="00FC212C" w:rsidRPr="00FC212C" w:rsidRDefault="006F6582" w:rsidP="00FC212C">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\f O \n \h \z \t "Observation" \c </w:instrText>
      </w:r>
      <w:r w:rsidRPr="00987105">
        <w:rPr>
          <w:b w:val="0"/>
          <w:bCs/>
          <w:sz w:val="20"/>
          <w:szCs w:val="20"/>
        </w:rPr>
        <w:fldChar w:fldCharType="separate"/>
      </w:r>
      <w:hyperlink w:anchor="_Toc61223884" w:history="1">
        <w:r w:rsidR="00FC212C" w:rsidRPr="00FC212C">
          <w:rPr>
            <w:rStyle w:val="Hyperlink"/>
            <w:noProof/>
            <w:sz w:val="20"/>
            <w:szCs w:val="20"/>
          </w:rPr>
          <w:t>Observation 1</w:t>
        </w:r>
        <w:r w:rsidR="00FC212C" w:rsidRPr="00FC212C">
          <w:rPr>
            <w:rFonts w:asciiTheme="minorHAnsi" w:eastAsiaTheme="minorEastAsia" w:hAnsiTheme="minorHAnsi"/>
            <w:b w:val="0"/>
            <w:noProof/>
            <w:sz w:val="20"/>
            <w:szCs w:val="20"/>
            <w:lang w:eastAsia="en-GB"/>
          </w:rPr>
          <w:tab/>
        </w:r>
        <w:r w:rsidR="00FC212C" w:rsidRPr="00FC212C">
          <w:rPr>
            <w:rStyle w:val="Hyperlink"/>
            <w:noProof/>
            <w:sz w:val="20"/>
            <w:szCs w:val="20"/>
          </w:rPr>
          <w:t xml:space="preserve">The </w:t>
        </w:r>
        <w:r w:rsidR="00FC212C" w:rsidRPr="00FC212C">
          <w:rPr>
            <w:rStyle w:val="Hyperlink"/>
            <w:noProof/>
            <w:sz w:val="20"/>
            <w:szCs w:val="20"/>
            <w:lang w:val="en-US"/>
          </w:rPr>
          <w:t>cell selection/reselection procedures for LTE are quite similar to the procedures in NR</w:t>
        </w:r>
        <w:r w:rsidR="00FC212C" w:rsidRPr="00FC212C">
          <w:rPr>
            <w:rStyle w:val="Hyperlink"/>
            <w:noProof/>
            <w:sz w:val="20"/>
            <w:szCs w:val="20"/>
          </w:rPr>
          <w:t>.</w:t>
        </w:r>
      </w:hyperlink>
    </w:p>
    <w:p w14:paraId="10A19DEB" w14:textId="77777777" w:rsidR="00FC212C" w:rsidRDefault="00F31656" w:rsidP="00FC212C">
      <w:pPr>
        <w:pStyle w:val="TableofFigures"/>
        <w:tabs>
          <w:tab w:val="right" w:leader="dot" w:pos="9629"/>
        </w:tabs>
        <w:jc w:val="both"/>
        <w:rPr>
          <w:rFonts w:asciiTheme="minorHAnsi" w:eastAsiaTheme="minorEastAsia" w:hAnsiTheme="minorHAnsi"/>
          <w:b w:val="0"/>
          <w:noProof/>
          <w:lang w:eastAsia="en-GB"/>
        </w:rPr>
      </w:pPr>
      <w:hyperlink w:anchor="_Toc61223885" w:history="1">
        <w:r w:rsidR="00FC212C" w:rsidRPr="00FC212C">
          <w:rPr>
            <w:rStyle w:val="Hyperlink"/>
            <w:noProof/>
            <w:sz w:val="20"/>
            <w:szCs w:val="20"/>
          </w:rPr>
          <w:t>Observation 2</w:t>
        </w:r>
        <w:r w:rsidR="00FC212C" w:rsidRPr="00FC212C">
          <w:rPr>
            <w:rFonts w:asciiTheme="minorHAnsi" w:eastAsiaTheme="minorEastAsia" w:hAnsiTheme="minorHAnsi"/>
            <w:b w:val="0"/>
            <w:noProof/>
            <w:sz w:val="20"/>
            <w:szCs w:val="20"/>
            <w:lang w:eastAsia="en-GB"/>
          </w:rPr>
          <w:tab/>
        </w:r>
        <w:r w:rsidR="00FC212C" w:rsidRPr="00FC212C">
          <w:rPr>
            <w:rStyle w:val="Hyperlink"/>
            <w:noProof/>
            <w:sz w:val="20"/>
            <w:szCs w:val="20"/>
          </w:rPr>
          <w:t>IoT NTN study should focus on essential adaptations for NTN, while generic enhancements motivated by non-NTN are outside the scope.</w:t>
        </w:r>
      </w:hyperlink>
    </w:p>
    <w:p w14:paraId="775CB46E" w14:textId="23340289" w:rsidR="006E1C82" w:rsidRPr="00987105" w:rsidRDefault="006F6582" w:rsidP="00FC212C">
      <w:pPr>
        <w:pStyle w:val="BodyText"/>
        <w:rPr>
          <w:b/>
          <w:bCs/>
          <w:sz w:val="20"/>
          <w:szCs w:val="20"/>
        </w:rPr>
      </w:pPr>
      <w:r w:rsidRPr="00987105">
        <w:rPr>
          <w:b/>
          <w:bCs/>
          <w:sz w:val="20"/>
          <w:szCs w:val="20"/>
        </w:rPr>
        <w:fldChar w:fldCharType="end"/>
      </w:r>
    </w:p>
    <w:p w14:paraId="3A82D5E6" w14:textId="77777777" w:rsidR="006E1C82" w:rsidRPr="00987105" w:rsidRDefault="008E065E" w:rsidP="00987105">
      <w:pPr>
        <w:pStyle w:val="BodyText"/>
        <w:rPr>
          <w:sz w:val="20"/>
          <w:szCs w:val="20"/>
        </w:rPr>
      </w:pPr>
      <w:r w:rsidRPr="00987105">
        <w:rPr>
          <w:sz w:val="20"/>
          <w:szCs w:val="20"/>
        </w:rPr>
        <w:t xml:space="preserve">Based on the discussion in </w:t>
      </w:r>
      <w:r w:rsidR="007729A2" w:rsidRPr="00987105">
        <w:rPr>
          <w:sz w:val="20"/>
          <w:szCs w:val="20"/>
        </w:rPr>
        <w:t xml:space="preserve">the previous </w:t>
      </w:r>
      <w:r w:rsidRPr="00987105">
        <w:rPr>
          <w:sz w:val="20"/>
          <w:szCs w:val="20"/>
        </w:rPr>
        <w:t>section</w:t>
      </w:r>
      <w:r w:rsidR="007729A2" w:rsidRPr="00987105">
        <w:rPr>
          <w:sz w:val="20"/>
          <w:szCs w:val="20"/>
        </w:rPr>
        <w:t>s</w:t>
      </w:r>
      <w:r w:rsidRPr="00987105">
        <w:rPr>
          <w:sz w:val="20"/>
          <w:szCs w:val="20"/>
        </w:rPr>
        <w:t xml:space="preserve"> we propose the following:</w:t>
      </w:r>
    </w:p>
    <w:p w14:paraId="51380DBA" w14:textId="77777777" w:rsidR="00FC212C" w:rsidRPr="00FC212C" w:rsidRDefault="006E1C82" w:rsidP="00FC212C">
      <w:pPr>
        <w:pStyle w:val="TableofFigures"/>
        <w:tabs>
          <w:tab w:val="right" w:leader="dot" w:pos="9629"/>
        </w:tabs>
        <w:jc w:val="both"/>
        <w:rPr>
          <w:rFonts w:asciiTheme="minorHAnsi" w:eastAsiaTheme="minorEastAsia" w:hAnsiTheme="minorHAnsi"/>
          <w:b w:val="0"/>
          <w:noProof/>
          <w:sz w:val="20"/>
          <w:szCs w:val="20"/>
          <w:lang w:eastAsia="en-GB"/>
        </w:rPr>
      </w:pPr>
      <w:r w:rsidRPr="00987105">
        <w:rPr>
          <w:b w:val="0"/>
          <w:bCs/>
          <w:sz w:val="20"/>
          <w:szCs w:val="20"/>
        </w:rPr>
        <w:fldChar w:fldCharType="begin"/>
      </w:r>
      <w:r w:rsidRPr="00987105">
        <w:rPr>
          <w:b w:val="0"/>
          <w:bCs/>
          <w:sz w:val="20"/>
          <w:szCs w:val="20"/>
        </w:rPr>
        <w:instrText xml:space="preserve"> TOC \n \h \z \t "Proposal" \c </w:instrText>
      </w:r>
      <w:r w:rsidRPr="00987105">
        <w:rPr>
          <w:b w:val="0"/>
          <w:bCs/>
          <w:sz w:val="20"/>
          <w:szCs w:val="20"/>
        </w:rPr>
        <w:fldChar w:fldCharType="separate"/>
      </w:r>
      <w:hyperlink w:anchor="_Toc61223913" w:history="1">
        <w:r w:rsidR="00FC212C" w:rsidRPr="00FC212C">
          <w:rPr>
            <w:rStyle w:val="Hyperlink"/>
            <w:noProof/>
            <w:sz w:val="20"/>
            <w:szCs w:val="20"/>
          </w:rPr>
          <w:t>Proposal 1</w:t>
        </w:r>
        <w:r w:rsidR="00FC212C" w:rsidRPr="00FC212C">
          <w:rPr>
            <w:rFonts w:asciiTheme="minorHAnsi" w:eastAsiaTheme="minorEastAsia" w:hAnsiTheme="minorHAnsi"/>
            <w:b w:val="0"/>
            <w:noProof/>
            <w:sz w:val="20"/>
            <w:szCs w:val="20"/>
            <w:lang w:eastAsia="en-GB"/>
          </w:rPr>
          <w:tab/>
        </w:r>
        <w:r w:rsidR="00FC212C" w:rsidRPr="00FC212C">
          <w:rPr>
            <w:rStyle w:val="Hyperlink"/>
            <w:rFonts w:cs="Arial"/>
            <w:noProof/>
            <w:sz w:val="20"/>
            <w:szCs w:val="20"/>
            <w:lang w:eastAsia="ja-JP"/>
          </w:rPr>
          <w:t>S</w:t>
        </w:r>
        <w:r w:rsidR="00FC212C" w:rsidRPr="00FC212C">
          <w:rPr>
            <w:rStyle w:val="Hyperlink"/>
            <w:rFonts w:cs="Arial"/>
            <w:noProof/>
            <w:sz w:val="20"/>
            <w:szCs w:val="20"/>
            <w:lang w:val="en-US" w:eastAsia="ja-JP"/>
          </w:rPr>
          <w:t>ame cell (re)selection enhancements as in NR NTN are adopted ensuring they provide sufficient precision for LTE-M and NB-IoT</w:t>
        </w:r>
        <w:r w:rsidR="00FC212C" w:rsidRPr="00FC212C">
          <w:rPr>
            <w:rStyle w:val="Hyperlink"/>
            <w:noProof/>
            <w:sz w:val="20"/>
            <w:szCs w:val="20"/>
          </w:rPr>
          <w:t>.</w:t>
        </w:r>
      </w:hyperlink>
    </w:p>
    <w:p w14:paraId="6E7382D1" w14:textId="77777777" w:rsidR="00FC212C" w:rsidRPr="00FC212C" w:rsidRDefault="00F31656" w:rsidP="00FC212C">
      <w:pPr>
        <w:pStyle w:val="TableofFigures"/>
        <w:tabs>
          <w:tab w:val="right" w:leader="dot" w:pos="9629"/>
        </w:tabs>
        <w:jc w:val="both"/>
        <w:rPr>
          <w:rFonts w:asciiTheme="minorHAnsi" w:eastAsiaTheme="minorEastAsia" w:hAnsiTheme="minorHAnsi"/>
          <w:b w:val="0"/>
          <w:noProof/>
          <w:sz w:val="20"/>
          <w:szCs w:val="20"/>
          <w:lang w:eastAsia="en-GB"/>
        </w:rPr>
      </w:pPr>
      <w:hyperlink w:anchor="_Toc61223914" w:history="1">
        <w:r w:rsidR="00FC212C" w:rsidRPr="00FC212C">
          <w:rPr>
            <w:rStyle w:val="Hyperlink"/>
            <w:rFonts w:cs="Arial"/>
            <w:noProof/>
            <w:sz w:val="20"/>
            <w:szCs w:val="20"/>
            <w:lang w:val="en-US"/>
          </w:rPr>
          <w:t>Proposal 2</w:t>
        </w:r>
        <w:r w:rsidR="00FC212C" w:rsidRPr="00FC212C">
          <w:rPr>
            <w:rFonts w:asciiTheme="minorHAnsi" w:eastAsiaTheme="minorEastAsia" w:hAnsiTheme="minorHAnsi"/>
            <w:b w:val="0"/>
            <w:noProof/>
            <w:sz w:val="20"/>
            <w:szCs w:val="20"/>
            <w:lang w:eastAsia="en-GB"/>
          </w:rPr>
          <w:tab/>
        </w:r>
        <w:r w:rsidR="00FC212C" w:rsidRPr="00FC212C">
          <w:rPr>
            <w:rStyle w:val="Hyperlink"/>
            <w:rFonts w:cs="Arial"/>
            <w:noProof/>
            <w:sz w:val="20"/>
            <w:szCs w:val="20"/>
            <w:lang w:val="en-US"/>
          </w:rPr>
          <w:t>RAN2 to wait until changes regarding service interruption during handover, high handover rate, and handover robustness are agreed in the NTN NR, and adopt those for NTN IoT, if applicable.</w:t>
        </w:r>
      </w:hyperlink>
    </w:p>
    <w:p w14:paraId="606E7B7E" w14:textId="77777777" w:rsidR="00FC212C" w:rsidRPr="00FC212C" w:rsidRDefault="00F31656" w:rsidP="00FC212C">
      <w:pPr>
        <w:pStyle w:val="TableofFigures"/>
        <w:tabs>
          <w:tab w:val="right" w:leader="dot" w:pos="9629"/>
        </w:tabs>
        <w:jc w:val="both"/>
        <w:rPr>
          <w:rFonts w:asciiTheme="minorHAnsi" w:eastAsiaTheme="minorEastAsia" w:hAnsiTheme="minorHAnsi"/>
          <w:b w:val="0"/>
          <w:noProof/>
          <w:sz w:val="20"/>
          <w:szCs w:val="20"/>
          <w:lang w:eastAsia="en-GB"/>
        </w:rPr>
      </w:pPr>
      <w:hyperlink w:anchor="_Toc61223915" w:history="1">
        <w:r w:rsidR="00FC212C" w:rsidRPr="00FC212C">
          <w:rPr>
            <w:rStyle w:val="Hyperlink"/>
            <w:rFonts w:cs="Arial"/>
            <w:noProof/>
            <w:sz w:val="20"/>
            <w:szCs w:val="20"/>
            <w:lang w:val="en-US"/>
          </w:rPr>
          <w:t>Proposal 3</w:t>
        </w:r>
        <w:r w:rsidR="00FC212C" w:rsidRPr="00FC212C">
          <w:rPr>
            <w:rFonts w:asciiTheme="minorHAnsi" w:eastAsiaTheme="minorEastAsia" w:hAnsiTheme="minorHAnsi"/>
            <w:b w:val="0"/>
            <w:noProof/>
            <w:sz w:val="20"/>
            <w:szCs w:val="20"/>
            <w:lang w:eastAsia="en-GB"/>
          </w:rPr>
          <w:tab/>
        </w:r>
        <w:r w:rsidR="00FC212C" w:rsidRPr="00FC212C">
          <w:rPr>
            <w:rStyle w:val="Hyperlink"/>
            <w:rFonts w:cs="Arial"/>
            <w:noProof/>
            <w:sz w:val="20"/>
            <w:szCs w:val="20"/>
            <w:lang w:val="en-US"/>
          </w:rPr>
          <w:t>Any changes concerning differences in propagation delays while measuring cells from different satellites are considered as baseline for NTN IoT. FFS if adaptations are needed for NTN IoT.</w:t>
        </w:r>
      </w:hyperlink>
    </w:p>
    <w:p w14:paraId="09847C73" w14:textId="77777777" w:rsidR="00FC212C" w:rsidRDefault="00F31656" w:rsidP="00FC212C">
      <w:pPr>
        <w:pStyle w:val="TableofFigures"/>
        <w:tabs>
          <w:tab w:val="right" w:leader="dot" w:pos="9629"/>
        </w:tabs>
        <w:jc w:val="both"/>
        <w:rPr>
          <w:rFonts w:asciiTheme="minorHAnsi" w:eastAsiaTheme="minorEastAsia" w:hAnsiTheme="minorHAnsi"/>
          <w:b w:val="0"/>
          <w:noProof/>
          <w:lang w:eastAsia="en-GB"/>
        </w:rPr>
      </w:pPr>
      <w:hyperlink w:anchor="_Toc61223916" w:history="1">
        <w:r w:rsidR="00FC212C" w:rsidRPr="00FC212C">
          <w:rPr>
            <w:rStyle w:val="Hyperlink"/>
            <w:noProof/>
            <w:sz w:val="20"/>
            <w:szCs w:val="20"/>
          </w:rPr>
          <w:t>Proposal 4</w:t>
        </w:r>
        <w:r w:rsidR="00FC212C" w:rsidRPr="00FC212C">
          <w:rPr>
            <w:rFonts w:asciiTheme="minorHAnsi" w:eastAsiaTheme="minorEastAsia" w:hAnsiTheme="minorHAnsi"/>
            <w:b w:val="0"/>
            <w:noProof/>
            <w:sz w:val="20"/>
            <w:szCs w:val="20"/>
            <w:lang w:eastAsia="en-GB"/>
          </w:rPr>
          <w:tab/>
        </w:r>
        <w:r w:rsidR="00FC212C" w:rsidRPr="00FC212C">
          <w:rPr>
            <w:rStyle w:val="Hyperlink"/>
            <w:noProof/>
            <w:sz w:val="20"/>
            <w:szCs w:val="20"/>
          </w:rPr>
          <w:t>Conditional handover is not specified for IoT NTN.</w:t>
        </w:r>
      </w:hyperlink>
    </w:p>
    <w:p w14:paraId="26EBCCF9" w14:textId="3AA6FBEE" w:rsidR="00C01F33" w:rsidRPr="009C2D28" w:rsidRDefault="006E1C82" w:rsidP="00FC212C">
      <w:pPr>
        <w:pStyle w:val="BodyText"/>
        <w:rPr>
          <w:b/>
          <w:bCs/>
        </w:rPr>
      </w:pPr>
      <w:r w:rsidRPr="00987105">
        <w:rPr>
          <w:b/>
          <w:bCs/>
          <w:sz w:val="20"/>
          <w:szCs w:val="20"/>
        </w:rPr>
        <w:fldChar w:fldCharType="end"/>
      </w:r>
    </w:p>
    <w:p w14:paraId="3F23459F" w14:textId="77777777" w:rsidR="00F507D1" w:rsidRPr="00CE0424" w:rsidRDefault="00F507D1" w:rsidP="00CE0424">
      <w:pPr>
        <w:pStyle w:val="Heading1"/>
      </w:pPr>
      <w:bookmarkStart w:id="13" w:name="_In-sequence_SDU_delivery"/>
      <w:bookmarkEnd w:id="13"/>
      <w:r w:rsidRPr="00CE0424">
        <w:t>References</w:t>
      </w:r>
    </w:p>
    <w:p w14:paraId="03BE2943" w14:textId="4F7CE290" w:rsidR="003A7EF3" w:rsidRPr="00EB6DCE" w:rsidRDefault="007C7EF8" w:rsidP="00CE0424">
      <w:pPr>
        <w:pStyle w:val="Reference"/>
      </w:pPr>
      <w:bookmarkStart w:id="14" w:name="_Ref49798330"/>
      <w:bookmarkStart w:id="15" w:name="_Ref45286859"/>
      <w:bookmarkStart w:id="16" w:name="_Ref174151459"/>
      <w:bookmarkStart w:id="17" w:name="_Ref189809556"/>
      <w:r w:rsidRPr="00E731A9">
        <w:t>RP-</w:t>
      </w:r>
      <w:r>
        <w:t>202689</w:t>
      </w:r>
      <w:r w:rsidRPr="00E731A9">
        <w:t>, Study on NB-IoT/eMTC support for Non-terrestrial Network, RAN#</w:t>
      </w:r>
      <w:r>
        <w:t>90</w:t>
      </w:r>
      <w:r w:rsidRPr="00E731A9">
        <w:t>, Dec 20</w:t>
      </w:r>
      <w:r>
        <w:t>20</w:t>
      </w:r>
      <w:bookmarkEnd w:id="14"/>
      <w:r w:rsidR="004D4967" w:rsidRPr="00EB6DCE">
        <w:t>.</w:t>
      </w:r>
      <w:bookmarkEnd w:id="15"/>
      <w:bookmarkEnd w:id="16"/>
      <w:bookmarkEnd w:id="17"/>
    </w:p>
    <w:p w14:paraId="4399140C" w14:textId="62A2D7C4" w:rsidR="00BA1283" w:rsidRDefault="00BA1283" w:rsidP="00BA1283">
      <w:pPr>
        <w:pStyle w:val="Reference"/>
      </w:pPr>
      <w:bookmarkStart w:id="18" w:name="_Ref49798325"/>
      <w:r w:rsidRPr="00E731A9">
        <w:t>TR 38.821, Solutions for NR to support Non-terrestrial Networks (NTN), 3GPP, V16.0.0, Jan 2016.</w:t>
      </w:r>
      <w:bookmarkEnd w:id="18"/>
    </w:p>
    <w:p w14:paraId="6D87B8F6" w14:textId="252BFC0E" w:rsidR="00025352" w:rsidRPr="00EB6DCE" w:rsidRDefault="00025352">
      <w:pPr>
        <w:pStyle w:val="Reference"/>
      </w:pPr>
      <w:bookmarkStart w:id="19" w:name="_Ref53749897"/>
      <w:r>
        <w:t>3GPP TR 38.913, “Study on scenarios and requirements for next generation access technologies,” version 16.0.0, July 2020.</w:t>
      </w:r>
      <w:bookmarkEnd w:id="19"/>
    </w:p>
    <w:sectPr w:rsidR="00025352" w:rsidRPr="00EB6DC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FFB8908" w16cex:dateUtc="2020-07-29T15:00:00Z"/>
  <w16cex:commentExtensible w16cex:durableId="5921B01E" w16cex:dateUtc="2020-07-31T09:34:00Z"/>
  <w16cex:commentExtensible w16cex:durableId="63B4FD00" w16cex:dateUtc="2020-07-29T15:05:00Z"/>
  <w16cex:commentExtensible w16cex:durableId="6827522F" w16cex:dateUtc="2020-07-29T15: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DDD41" w14:textId="77777777" w:rsidR="00F31656" w:rsidRDefault="00F31656">
      <w:r>
        <w:separator/>
      </w:r>
    </w:p>
  </w:endnote>
  <w:endnote w:type="continuationSeparator" w:id="0">
    <w:p w14:paraId="79E0D653" w14:textId="77777777" w:rsidR="00F31656" w:rsidRDefault="00F31656">
      <w:r>
        <w:continuationSeparator/>
      </w:r>
    </w:p>
  </w:endnote>
  <w:endnote w:type="continuationNotice" w:id="1">
    <w:p w14:paraId="13B4C86D" w14:textId="77777777" w:rsidR="00F31656" w:rsidRDefault="00F316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40624" w14:textId="77777777" w:rsidR="00F31656" w:rsidRDefault="00F31656">
      <w:r>
        <w:separator/>
      </w:r>
    </w:p>
  </w:footnote>
  <w:footnote w:type="continuationSeparator" w:id="0">
    <w:p w14:paraId="0DD7FF80" w14:textId="77777777" w:rsidR="00F31656" w:rsidRDefault="00F31656">
      <w:r>
        <w:continuationSeparator/>
      </w:r>
    </w:p>
  </w:footnote>
  <w:footnote w:type="continuationNotice" w:id="1">
    <w:p w14:paraId="4B2C1848" w14:textId="77777777" w:rsidR="00F31656" w:rsidRDefault="00F316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74139BE"/>
    <w:multiLevelType w:val="hybridMultilevel"/>
    <w:tmpl w:val="5A6403B4"/>
    <w:lvl w:ilvl="0" w:tplc="67AA63A6">
      <w:start w:val="2"/>
      <w:numFmt w:val="bullet"/>
      <w:lvlText w:val="-"/>
      <w:lvlJc w:val="left"/>
      <w:pPr>
        <w:ind w:left="360" w:hanging="360"/>
      </w:pPr>
      <w:rPr>
        <w:rFonts w:ascii="Calibri" w:eastAsia="Times New Roman" w:hAnsi="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17"/>
  </w:num>
  <w:num w:numId="4">
    <w:abstractNumId w:val="18"/>
  </w:num>
  <w:num w:numId="5">
    <w:abstractNumId w:val="14"/>
  </w:num>
  <w:num w:numId="6">
    <w:abstractNumId w:val="20"/>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9"/>
  </w:num>
  <w:num w:numId="17">
    <w:abstractNumId w:val="11"/>
  </w:num>
  <w:num w:numId="18">
    <w:abstractNumId w:val="12"/>
  </w:num>
  <w:num w:numId="19">
    <w:abstractNumId w:val="8"/>
  </w:num>
  <w:num w:numId="20">
    <w:abstractNumId w:val="33"/>
  </w:num>
  <w:num w:numId="21">
    <w:abstractNumId w:val="16"/>
  </w:num>
  <w:num w:numId="22">
    <w:abstractNumId w:val="31"/>
  </w:num>
  <w:num w:numId="23">
    <w:abstractNumId w:val="9"/>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0"/>
  </w:num>
  <w:num w:numId="27">
    <w:abstractNumId w:val="3"/>
  </w:num>
  <w:num w:numId="28">
    <w:abstractNumId w:val="4"/>
  </w:num>
  <w:num w:numId="29">
    <w:abstractNumId w:val="24"/>
  </w:num>
  <w:num w:numId="30">
    <w:abstractNumId w:val="7"/>
  </w:num>
  <w:num w:numId="31">
    <w:abstractNumId w:val="27"/>
  </w:num>
  <w:num w:numId="32">
    <w:abstractNumId w:val="34"/>
  </w:num>
  <w:num w:numId="33">
    <w:abstractNumId w:val="21"/>
  </w:num>
  <w:num w:numId="34">
    <w:abstractNumId w:val="17"/>
  </w:num>
  <w:num w:numId="35">
    <w:abstractNumId w:val="32"/>
  </w:num>
  <w:num w:numId="36">
    <w:abstractNumId w:val="6"/>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A37"/>
    <w:rsid w:val="0000564C"/>
    <w:rsid w:val="000062F7"/>
    <w:rsid w:val="00006446"/>
    <w:rsid w:val="00006896"/>
    <w:rsid w:val="00007CDC"/>
    <w:rsid w:val="00011B28"/>
    <w:rsid w:val="000143C1"/>
    <w:rsid w:val="00015D15"/>
    <w:rsid w:val="00021CC0"/>
    <w:rsid w:val="0002430F"/>
    <w:rsid w:val="00025352"/>
    <w:rsid w:val="0002564D"/>
    <w:rsid w:val="00025ECA"/>
    <w:rsid w:val="00030AAF"/>
    <w:rsid w:val="000325B8"/>
    <w:rsid w:val="00034C15"/>
    <w:rsid w:val="00036BA1"/>
    <w:rsid w:val="00037FC4"/>
    <w:rsid w:val="00040CB3"/>
    <w:rsid w:val="000422E2"/>
    <w:rsid w:val="00042F22"/>
    <w:rsid w:val="000444EF"/>
    <w:rsid w:val="00047284"/>
    <w:rsid w:val="00052A07"/>
    <w:rsid w:val="00052C67"/>
    <w:rsid w:val="000534E3"/>
    <w:rsid w:val="00055ABF"/>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3FB"/>
    <w:rsid w:val="000A0885"/>
    <w:rsid w:val="000A1B7B"/>
    <w:rsid w:val="000A56F2"/>
    <w:rsid w:val="000A5954"/>
    <w:rsid w:val="000B2719"/>
    <w:rsid w:val="000B30A2"/>
    <w:rsid w:val="000B3A8F"/>
    <w:rsid w:val="000B4AB9"/>
    <w:rsid w:val="000B58C3"/>
    <w:rsid w:val="000B61E9"/>
    <w:rsid w:val="000B7065"/>
    <w:rsid w:val="000B7B1A"/>
    <w:rsid w:val="000C165A"/>
    <w:rsid w:val="000C2E19"/>
    <w:rsid w:val="000C395B"/>
    <w:rsid w:val="000D0D07"/>
    <w:rsid w:val="000D4797"/>
    <w:rsid w:val="000D4A18"/>
    <w:rsid w:val="000E0527"/>
    <w:rsid w:val="000E1E92"/>
    <w:rsid w:val="000E5C9F"/>
    <w:rsid w:val="000F06D6"/>
    <w:rsid w:val="000F0B66"/>
    <w:rsid w:val="000F0EB1"/>
    <w:rsid w:val="000F1106"/>
    <w:rsid w:val="000F3BE9"/>
    <w:rsid w:val="000F3F6C"/>
    <w:rsid w:val="000F6DF3"/>
    <w:rsid w:val="000F718E"/>
    <w:rsid w:val="000F79F0"/>
    <w:rsid w:val="0010027D"/>
    <w:rsid w:val="001005FF"/>
    <w:rsid w:val="001037E0"/>
    <w:rsid w:val="001062FB"/>
    <w:rsid w:val="001063E6"/>
    <w:rsid w:val="0010725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9C0"/>
    <w:rsid w:val="0014763D"/>
    <w:rsid w:val="00151E23"/>
    <w:rsid w:val="001526E0"/>
    <w:rsid w:val="0015455E"/>
    <w:rsid w:val="001551B5"/>
    <w:rsid w:val="00156282"/>
    <w:rsid w:val="001659C1"/>
    <w:rsid w:val="00173A8E"/>
    <w:rsid w:val="0017502C"/>
    <w:rsid w:val="00177C20"/>
    <w:rsid w:val="0018143F"/>
    <w:rsid w:val="00181FF8"/>
    <w:rsid w:val="00190AC1"/>
    <w:rsid w:val="0019341A"/>
    <w:rsid w:val="00197DF9"/>
    <w:rsid w:val="001A1987"/>
    <w:rsid w:val="001A2564"/>
    <w:rsid w:val="001A25CF"/>
    <w:rsid w:val="001A45EA"/>
    <w:rsid w:val="001A6173"/>
    <w:rsid w:val="001A6CBA"/>
    <w:rsid w:val="001B0204"/>
    <w:rsid w:val="001B0D97"/>
    <w:rsid w:val="001B2EE6"/>
    <w:rsid w:val="001B3911"/>
    <w:rsid w:val="001B4ED0"/>
    <w:rsid w:val="001B5A5D"/>
    <w:rsid w:val="001B5B3E"/>
    <w:rsid w:val="001C1A25"/>
    <w:rsid w:val="001C1CE5"/>
    <w:rsid w:val="001C3D2A"/>
    <w:rsid w:val="001C404E"/>
    <w:rsid w:val="001C4ADA"/>
    <w:rsid w:val="001D07FB"/>
    <w:rsid w:val="001D32F8"/>
    <w:rsid w:val="001D388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240"/>
    <w:rsid w:val="00230765"/>
    <w:rsid w:val="00230D18"/>
    <w:rsid w:val="002319E4"/>
    <w:rsid w:val="00232D35"/>
    <w:rsid w:val="00235632"/>
    <w:rsid w:val="00235872"/>
    <w:rsid w:val="00237B8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6ACD"/>
    <w:rsid w:val="00287838"/>
    <w:rsid w:val="002907B5"/>
    <w:rsid w:val="00292EB7"/>
    <w:rsid w:val="00296227"/>
    <w:rsid w:val="00296F44"/>
    <w:rsid w:val="0029777D"/>
    <w:rsid w:val="002A055E"/>
    <w:rsid w:val="002A1D4E"/>
    <w:rsid w:val="002A2869"/>
    <w:rsid w:val="002A2A3F"/>
    <w:rsid w:val="002B24D6"/>
    <w:rsid w:val="002C41E6"/>
    <w:rsid w:val="002D071A"/>
    <w:rsid w:val="002D3325"/>
    <w:rsid w:val="002D34B2"/>
    <w:rsid w:val="002D48B0"/>
    <w:rsid w:val="002D5B37"/>
    <w:rsid w:val="002D7637"/>
    <w:rsid w:val="002E17F2"/>
    <w:rsid w:val="002E7CAE"/>
    <w:rsid w:val="002F13E4"/>
    <w:rsid w:val="002F2771"/>
    <w:rsid w:val="002F37A9"/>
    <w:rsid w:val="00301CE6"/>
    <w:rsid w:val="0030256B"/>
    <w:rsid w:val="0030501F"/>
    <w:rsid w:val="00306360"/>
    <w:rsid w:val="00307BA1"/>
    <w:rsid w:val="00310FED"/>
    <w:rsid w:val="00311702"/>
    <w:rsid w:val="00311E82"/>
    <w:rsid w:val="00313FD6"/>
    <w:rsid w:val="003143BD"/>
    <w:rsid w:val="00315363"/>
    <w:rsid w:val="003203ED"/>
    <w:rsid w:val="003208AE"/>
    <w:rsid w:val="003208B1"/>
    <w:rsid w:val="00322A1B"/>
    <w:rsid w:val="00322C9F"/>
    <w:rsid w:val="00324D23"/>
    <w:rsid w:val="00331751"/>
    <w:rsid w:val="00334579"/>
    <w:rsid w:val="00335858"/>
    <w:rsid w:val="00336BDA"/>
    <w:rsid w:val="00342BD7"/>
    <w:rsid w:val="0034367C"/>
    <w:rsid w:val="00346DB5"/>
    <w:rsid w:val="003477B1"/>
    <w:rsid w:val="00351F7F"/>
    <w:rsid w:val="003532C9"/>
    <w:rsid w:val="00355698"/>
    <w:rsid w:val="00356C68"/>
    <w:rsid w:val="00357380"/>
    <w:rsid w:val="0035774C"/>
    <w:rsid w:val="003602D9"/>
    <w:rsid w:val="003604CE"/>
    <w:rsid w:val="00370E47"/>
    <w:rsid w:val="003742AC"/>
    <w:rsid w:val="00377CE1"/>
    <w:rsid w:val="00384C5C"/>
    <w:rsid w:val="00385BF0"/>
    <w:rsid w:val="003939FF"/>
    <w:rsid w:val="003A2223"/>
    <w:rsid w:val="003A2A0F"/>
    <w:rsid w:val="003A45A1"/>
    <w:rsid w:val="003A5B0A"/>
    <w:rsid w:val="003A6BAC"/>
    <w:rsid w:val="003A70A4"/>
    <w:rsid w:val="003A7EF3"/>
    <w:rsid w:val="003B159C"/>
    <w:rsid w:val="003B369F"/>
    <w:rsid w:val="003B36A3"/>
    <w:rsid w:val="003B62F7"/>
    <w:rsid w:val="003B64BB"/>
    <w:rsid w:val="003B7FE5"/>
    <w:rsid w:val="003C11C8"/>
    <w:rsid w:val="003C2702"/>
    <w:rsid w:val="003C3AC5"/>
    <w:rsid w:val="003C7806"/>
    <w:rsid w:val="003D109F"/>
    <w:rsid w:val="003D2478"/>
    <w:rsid w:val="003D3C45"/>
    <w:rsid w:val="003D5B1F"/>
    <w:rsid w:val="003E15FA"/>
    <w:rsid w:val="003E4DB2"/>
    <w:rsid w:val="003E55E4"/>
    <w:rsid w:val="003E74E3"/>
    <w:rsid w:val="003E7A6F"/>
    <w:rsid w:val="003F05C7"/>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263E"/>
    <w:rsid w:val="00413AAC"/>
    <w:rsid w:val="00413E92"/>
    <w:rsid w:val="00416782"/>
    <w:rsid w:val="00421105"/>
    <w:rsid w:val="00422AA4"/>
    <w:rsid w:val="0042414C"/>
    <w:rsid w:val="004242F4"/>
    <w:rsid w:val="00427248"/>
    <w:rsid w:val="00437447"/>
    <w:rsid w:val="00441A92"/>
    <w:rsid w:val="0044229B"/>
    <w:rsid w:val="004431DC"/>
    <w:rsid w:val="00444201"/>
    <w:rsid w:val="00444F56"/>
    <w:rsid w:val="00446488"/>
    <w:rsid w:val="00447DCB"/>
    <w:rsid w:val="004517AA"/>
    <w:rsid w:val="00452CAC"/>
    <w:rsid w:val="00457565"/>
    <w:rsid w:val="00457B71"/>
    <w:rsid w:val="00464689"/>
    <w:rsid w:val="0046597C"/>
    <w:rsid w:val="004669E2"/>
    <w:rsid w:val="00470473"/>
    <w:rsid w:val="00470C31"/>
    <w:rsid w:val="00471DE0"/>
    <w:rsid w:val="004734D0"/>
    <w:rsid w:val="0047556B"/>
    <w:rsid w:val="004756CB"/>
    <w:rsid w:val="00477768"/>
    <w:rsid w:val="00492BC5"/>
    <w:rsid w:val="004964F1"/>
    <w:rsid w:val="004A16BC"/>
    <w:rsid w:val="004A27F6"/>
    <w:rsid w:val="004A2B94"/>
    <w:rsid w:val="004B6516"/>
    <w:rsid w:val="004B6F6A"/>
    <w:rsid w:val="004B7C0C"/>
    <w:rsid w:val="004C3898"/>
    <w:rsid w:val="004D10E7"/>
    <w:rsid w:val="004D1987"/>
    <w:rsid w:val="004D24DB"/>
    <w:rsid w:val="004D36B1"/>
    <w:rsid w:val="004D4967"/>
    <w:rsid w:val="004D7EBD"/>
    <w:rsid w:val="004E2680"/>
    <w:rsid w:val="004E28F9"/>
    <w:rsid w:val="004E319F"/>
    <w:rsid w:val="004E462E"/>
    <w:rsid w:val="004E56DC"/>
    <w:rsid w:val="004E76F4"/>
    <w:rsid w:val="004F0B4E"/>
    <w:rsid w:val="004F0B6C"/>
    <w:rsid w:val="004F2078"/>
    <w:rsid w:val="004F4DA3"/>
    <w:rsid w:val="00506557"/>
    <w:rsid w:val="0050677A"/>
    <w:rsid w:val="005108D8"/>
    <w:rsid w:val="005116F9"/>
    <w:rsid w:val="005153A7"/>
    <w:rsid w:val="005219CF"/>
    <w:rsid w:val="00523229"/>
    <w:rsid w:val="005253CF"/>
    <w:rsid w:val="00532029"/>
    <w:rsid w:val="00534B59"/>
    <w:rsid w:val="00536759"/>
    <w:rsid w:val="00537C62"/>
    <w:rsid w:val="00546970"/>
    <w:rsid w:val="00553466"/>
    <w:rsid w:val="00554E19"/>
    <w:rsid w:val="0056121F"/>
    <w:rsid w:val="00572505"/>
    <w:rsid w:val="00573652"/>
    <w:rsid w:val="00582809"/>
    <w:rsid w:val="0058798C"/>
    <w:rsid w:val="005900FA"/>
    <w:rsid w:val="005935A4"/>
    <w:rsid w:val="005948C2"/>
    <w:rsid w:val="00595DCA"/>
    <w:rsid w:val="0059779B"/>
    <w:rsid w:val="005A209A"/>
    <w:rsid w:val="005A4CF7"/>
    <w:rsid w:val="005A6410"/>
    <w:rsid w:val="005A662D"/>
    <w:rsid w:val="005B1409"/>
    <w:rsid w:val="005B331D"/>
    <w:rsid w:val="005B35D7"/>
    <w:rsid w:val="005B392A"/>
    <w:rsid w:val="005B3AA3"/>
    <w:rsid w:val="005B43E6"/>
    <w:rsid w:val="005B6F83"/>
    <w:rsid w:val="005C4A57"/>
    <w:rsid w:val="005C74FB"/>
    <w:rsid w:val="005D1602"/>
    <w:rsid w:val="005D2FCB"/>
    <w:rsid w:val="005D3AB9"/>
    <w:rsid w:val="005E1238"/>
    <w:rsid w:val="005E347D"/>
    <w:rsid w:val="005E385F"/>
    <w:rsid w:val="005E5B81"/>
    <w:rsid w:val="005E7211"/>
    <w:rsid w:val="005F1727"/>
    <w:rsid w:val="005F1BA8"/>
    <w:rsid w:val="005F2CB1"/>
    <w:rsid w:val="005F3025"/>
    <w:rsid w:val="005F618C"/>
    <w:rsid w:val="005F70BD"/>
    <w:rsid w:val="0060283C"/>
    <w:rsid w:val="00604F14"/>
    <w:rsid w:val="00611B83"/>
    <w:rsid w:val="00613257"/>
    <w:rsid w:val="00614326"/>
    <w:rsid w:val="00617C64"/>
    <w:rsid w:val="00620A71"/>
    <w:rsid w:val="00620D80"/>
    <w:rsid w:val="006234A6"/>
    <w:rsid w:val="00623BFB"/>
    <w:rsid w:val="00630001"/>
    <w:rsid w:val="006311B3"/>
    <w:rsid w:val="0063284C"/>
    <w:rsid w:val="00636398"/>
    <w:rsid w:val="006368D3"/>
    <w:rsid w:val="006377EC"/>
    <w:rsid w:val="00641236"/>
    <w:rsid w:val="0064151F"/>
    <w:rsid w:val="00641533"/>
    <w:rsid w:val="0064208D"/>
    <w:rsid w:val="00643475"/>
    <w:rsid w:val="0064396A"/>
    <w:rsid w:val="00644E1D"/>
    <w:rsid w:val="0064624E"/>
    <w:rsid w:val="00650AB9"/>
    <w:rsid w:val="00650CBF"/>
    <w:rsid w:val="00655733"/>
    <w:rsid w:val="00655ACD"/>
    <w:rsid w:val="00656A92"/>
    <w:rsid w:val="00656DDE"/>
    <w:rsid w:val="0066011D"/>
    <w:rsid w:val="006607C0"/>
    <w:rsid w:val="006613A6"/>
    <w:rsid w:val="006627A2"/>
    <w:rsid w:val="006634E6"/>
    <w:rsid w:val="00663F19"/>
    <w:rsid w:val="006655EE"/>
    <w:rsid w:val="006668F3"/>
    <w:rsid w:val="00667951"/>
    <w:rsid w:val="00667EE7"/>
    <w:rsid w:val="00670922"/>
    <w:rsid w:val="00670BE1"/>
    <w:rsid w:val="0067218F"/>
    <w:rsid w:val="00672C9A"/>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E8A"/>
    <w:rsid w:val="006B4EAD"/>
    <w:rsid w:val="006B50CF"/>
    <w:rsid w:val="006B6367"/>
    <w:rsid w:val="006B7A8D"/>
    <w:rsid w:val="006C03B8"/>
    <w:rsid w:val="006C19A1"/>
    <w:rsid w:val="006C5EC9"/>
    <w:rsid w:val="006C6059"/>
    <w:rsid w:val="006C7522"/>
    <w:rsid w:val="006D6F08"/>
    <w:rsid w:val="006D7D51"/>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07B"/>
    <w:rsid w:val="0070346E"/>
    <w:rsid w:val="00704EDB"/>
    <w:rsid w:val="00706101"/>
    <w:rsid w:val="00707072"/>
    <w:rsid w:val="00707D61"/>
    <w:rsid w:val="00711EE8"/>
    <w:rsid w:val="00712287"/>
    <w:rsid w:val="00712772"/>
    <w:rsid w:val="007148D3"/>
    <w:rsid w:val="00715B9A"/>
    <w:rsid w:val="007257D0"/>
    <w:rsid w:val="00726EA6"/>
    <w:rsid w:val="00727208"/>
    <w:rsid w:val="007273E4"/>
    <w:rsid w:val="00727680"/>
    <w:rsid w:val="007324FE"/>
    <w:rsid w:val="007348B1"/>
    <w:rsid w:val="007362A6"/>
    <w:rsid w:val="00736D7D"/>
    <w:rsid w:val="007406CA"/>
    <w:rsid w:val="00740E58"/>
    <w:rsid w:val="007445A0"/>
    <w:rsid w:val="0074524B"/>
    <w:rsid w:val="00747D8B"/>
    <w:rsid w:val="00750A29"/>
    <w:rsid w:val="00751228"/>
    <w:rsid w:val="007571E1"/>
    <w:rsid w:val="007604B2"/>
    <w:rsid w:val="00762FB4"/>
    <w:rsid w:val="00765281"/>
    <w:rsid w:val="00766BAD"/>
    <w:rsid w:val="00770587"/>
    <w:rsid w:val="00771318"/>
    <w:rsid w:val="007729A2"/>
    <w:rsid w:val="00772B62"/>
    <w:rsid w:val="007755F2"/>
    <w:rsid w:val="00776971"/>
    <w:rsid w:val="00777C4D"/>
    <w:rsid w:val="00780A80"/>
    <w:rsid w:val="0078177E"/>
    <w:rsid w:val="0078304C"/>
    <w:rsid w:val="00783673"/>
    <w:rsid w:val="00784EF4"/>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F490B"/>
    <w:rsid w:val="00803FAE"/>
    <w:rsid w:val="0080605F"/>
    <w:rsid w:val="00807786"/>
    <w:rsid w:val="00811FCB"/>
    <w:rsid w:val="008158D6"/>
    <w:rsid w:val="00817196"/>
    <w:rsid w:val="008235DB"/>
    <w:rsid w:val="00824AB4"/>
    <w:rsid w:val="00825C42"/>
    <w:rsid w:val="00825D25"/>
    <w:rsid w:val="00827D6F"/>
    <w:rsid w:val="008307C0"/>
    <w:rsid w:val="008376AC"/>
    <w:rsid w:val="00843106"/>
    <w:rsid w:val="008444E8"/>
    <w:rsid w:val="008445EB"/>
    <w:rsid w:val="00844E80"/>
    <w:rsid w:val="0084597A"/>
    <w:rsid w:val="00846FE7"/>
    <w:rsid w:val="008526D4"/>
    <w:rsid w:val="00856911"/>
    <w:rsid w:val="008569E5"/>
    <w:rsid w:val="008677FD"/>
    <w:rsid w:val="008706D4"/>
    <w:rsid w:val="00870F8A"/>
    <w:rsid w:val="008719A4"/>
    <w:rsid w:val="00871D23"/>
    <w:rsid w:val="00872FB3"/>
    <w:rsid w:val="00874312"/>
    <w:rsid w:val="0087437C"/>
    <w:rsid w:val="00875CD7"/>
    <w:rsid w:val="00876B4D"/>
    <w:rsid w:val="00877F18"/>
    <w:rsid w:val="008941E3"/>
    <w:rsid w:val="00894A88"/>
    <w:rsid w:val="00895386"/>
    <w:rsid w:val="00895A69"/>
    <w:rsid w:val="0089716D"/>
    <w:rsid w:val="008A21FF"/>
    <w:rsid w:val="008A2CE2"/>
    <w:rsid w:val="008A30AC"/>
    <w:rsid w:val="008A44B8"/>
    <w:rsid w:val="008A51A8"/>
    <w:rsid w:val="008A54C7"/>
    <w:rsid w:val="008A77D8"/>
    <w:rsid w:val="008B0483"/>
    <w:rsid w:val="008B120C"/>
    <w:rsid w:val="008B49C5"/>
    <w:rsid w:val="008B51A0"/>
    <w:rsid w:val="008B592A"/>
    <w:rsid w:val="008B716E"/>
    <w:rsid w:val="008B7B5C"/>
    <w:rsid w:val="008C0C99"/>
    <w:rsid w:val="008C2017"/>
    <w:rsid w:val="008C27B4"/>
    <w:rsid w:val="008C4958"/>
    <w:rsid w:val="008C4BAA"/>
    <w:rsid w:val="008C6AE8"/>
    <w:rsid w:val="008C7573"/>
    <w:rsid w:val="008D00A5"/>
    <w:rsid w:val="008D34F1"/>
    <w:rsid w:val="008D39D8"/>
    <w:rsid w:val="008D6D1A"/>
    <w:rsid w:val="008E065E"/>
    <w:rsid w:val="008E0927"/>
    <w:rsid w:val="008E1909"/>
    <w:rsid w:val="008F1C4E"/>
    <w:rsid w:val="008F1EAB"/>
    <w:rsid w:val="008F2354"/>
    <w:rsid w:val="008F33DC"/>
    <w:rsid w:val="008F477F"/>
    <w:rsid w:val="008F5103"/>
    <w:rsid w:val="00902350"/>
    <w:rsid w:val="0090336B"/>
    <w:rsid w:val="009053AA"/>
    <w:rsid w:val="00906939"/>
    <w:rsid w:val="00910B7D"/>
    <w:rsid w:val="00911DFB"/>
    <w:rsid w:val="009139D9"/>
    <w:rsid w:val="00914AD8"/>
    <w:rsid w:val="00916079"/>
    <w:rsid w:val="00917CE9"/>
    <w:rsid w:val="0092075B"/>
    <w:rsid w:val="00920BF2"/>
    <w:rsid w:val="00922010"/>
    <w:rsid w:val="0092735F"/>
    <w:rsid w:val="00931BD9"/>
    <w:rsid w:val="009368F3"/>
    <w:rsid w:val="00941636"/>
    <w:rsid w:val="0094258A"/>
    <w:rsid w:val="00943742"/>
    <w:rsid w:val="00943DF2"/>
    <w:rsid w:val="00945C05"/>
    <w:rsid w:val="00946945"/>
    <w:rsid w:val="00947713"/>
    <w:rsid w:val="00950DE7"/>
    <w:rsid w:val="00953920"/>
    <w:rsid w:val="00953D47"/>
    <w:rsid w:val="00954C25"/>
    <w:rsid w:val="0095681E"/>
    <w:rsid w:val="009572D4"/>
    <w:rsid w:val="00961921"/>
    <w:rsid w:val="0096430A"/>
    <w:rsid w:val="0096554B"/>
    <w:rsid w:val="0096584A"/>
    <w:rsid w:val="00971F08"/>
    <w:rsid w:val="0097603D"/>
    <w:rsid w:val="00976949"/>
    <w:rsid w:val="00980477"/>
    <w:rsid w:val="00984436"/>
    <w:rsid w:val="00985253"/>
    <w:rsid w:val="009853B3"/>
    <w:rsid w:val="00987105"/>
    <w:rsid w:val="00990630"/>
    <w:rsid w:val="00991761"/>
    <w:rsid w:val="00994DCA"/>
    <w:rsid w:val="009960EC"/>
    <w:rsid w:val="009970DD"/>
    <w:rsid w:val="009A0FBA"/>
    <w:rsid w:val="009A1601"/>
    <w:rsid w:val="009A3BB6"/>
    <w:rsid w:val="009A4091"/>
    <w:rsid w:val="009A462D"/>
    <w:rsid w:val="009A5CBA"/>
    <w:rsid w:val="009B1F30"/>
    <w:rsid w:val="009B3AC2"/>
    <w:rsid w:val="009B3C5D"/>
    <w:rsid w:val="009B4DF4"/>
    <w:rsid w:val="009B564E"/>
    <w:rsid w:val="009B613C"/>
    <w:rsid w:val="009B7E87"/>
    <w:rsid w:val="009C0169"/>
    <w:rsid w:val="009C2D28"/>
    <w:rsid w:val="009C403E"/>
    <w:rsid w:val="009D18B0"/>
    <w:rsid w:val="009D4BAD"/>
    <w:rsid w:val="009D4FF0"/>
    <w:rsid w:val="009D703C"/>
    <w:rsid w:val="009D718F"/>
    <w:rsid w:val="009E068F"/>
    <w:rsid w:val="009E14E0"/>
    <w:rsid w:val="009E35DB"/>
    <w:rsid w:val="009E47A3"/>
    <w:rsid w:val="009F08F3"/>
    <w:rsid w:val="009F0A93"/>
    <w:rsid w:val="009F344F"/>
    <w:rsid w:val="009F3917"/>
    <w:rsid w:val="009F3C4E"/>
    <w:rsid w:val="009F5016"/>
    <w:rsid w:val="00A001E1"/>
    <w:rsid w:val="00A031D8"/>
    <w:rsid w:val="00A048A8"/>
    <w:rsid w:val="00A04F49"/>
    <w:rsid w:val="00A11B5D"/>
    <w:rsid w:val="00A13E54"/>
    <w:rsid w:val="00A1742D"/>
    <w:rsid w:val="00A17F63"/>
    <w:rsid w:val="00A20735"/>
    <w:rsid w:val="00A2193B"/>
    <w:rsid w:val="00A2351A"/>
    <w:rsid w:val="00A264A9"/>
    <w:rsid w:val="00A26DCF"/>
    <w:rsid w:val="00A27785"/>
    <w:rsid w:val="00A30187"/>
    <w:rsid w:val="00A3448A"/>
    <w:rsid w:val="00A36297"/>
    <w:rsid w:val="00A41E2B"/>
    <w:rsid w:val="00A43547"/>
    <w:rsid w:val="00A44102"/>
    <w:rsid w:val="00A45B74"/>
    <w:rsid w:val="00A5265A"/>
    <w:rsid w:val="00A52E1D"/>
    <w:rsid w:val="00A61499"/>
    <w:rsid w:val="00A62A77"/>
    <w:rsid w:val="00A63483"/>
    <w:rsid w:val="00A657D7"/>
    <w:rsid w:val="00A660AC"/>
    <w:rsid w:val="00A67E6C"/>
    <w:rsid w:val="00A71B99"/>
    <w:rsid w:val="00A739D0"/>
    <w:rsid w:val="00A7589E"/>
    <w:rsid w:val="00A761D4"/>
    <w:rsid w:val="00A77EC4"/>
    <w:rsid w:val="00A82C95"/>
    <w:rsid w:val="00A92879"/>
    <w:rsid w:val="00A93666"/>
    <w:rsid w:val="00A9442A"/>
    <w:rsid w:val="00AA016F"/>
    <w:rsid w:val="00AA089D"/>
    <w:rsid w:val="00AA1ED6"/>
    <w:rsid w:val="00AA51D6"/>
    <w:rsid w:val="00AA7067"/>
    <w:rsid w:val="00AB0848"/>
    <w:rsid w:val="00AB0BC8"/>
    <w:rsid w:val="00AB1180"/>
    <w:rsid w:val="00AB11CA"/>
    <w:rsid w:val="00AB14D9"/>
    <w:rsid w:val="00AB4AB8"/>
    <w:rsid w:val="00AB655E"/>
    <w:rsid w:val="00AC007F"/>
    <w:rsid w:val="00AC2ECD"/>
    <w:rsid w:val="00AC3119"/>
    <w:rsid w:val="00AC49FB"/>
    <w:rsid w:val="00AC5A10"/>
    <w:rsid w:val="00AC72B4"/>
    <w:rsid w:val="00AD0AA3"/>
    <w:rsid w:val="00AD19CA"/>
    <w:rsid w:val="00AD2ED0"/>
    <w:rsid w:val="00AD3910"/>
    <w:rsid w:val="00AD3F94"/>
    <w:rsid w:val="00AD4A5A"/>
    <w:rsid w:val="00AD5C37"/>
    <w:rsid w:val="00AD7140"/>
    <w:rsid w:val="00AE27AC"/>
    <w:rsid w:val="00AE40E0"/>
    <w:rsid w:val="00AE4DBA"/>
    <w:rsid w:val="00AE4F07"/>
    <w:rsid w:val="00AF1C5D"/>
    <w:rsid w:val="00AF341E"/>
    <w:rsid w:val="00AF42D7"/>
    <w:rsid w:val="00AF603B"/>
    <w:rsid w:val="00B006FE"/>
    <w:rsid w:val="00B007CB"/>
    <w:rsid w:val="00B01CBE"/>
    <w:rsid w:val="00B02AA9"/>
    <w:rsid w:val="00B02FA3"/>
    <w:rsid w:val="00B05084"/>
    <w:rsid w:val="00B066B0"/>
    <w:rsid w:val="00B157F9"/>
    <w:rsid w:val="00B20256"/>
    <w:rsid w:val="00B20D09"/>
    <w:rsid w:val="00B24C1A"/>
    <w:rsid w:val="00B2763F"/>
    <w:rsid w:val="00B27AAC"/>
    <w:rsid w:val="00B30929"/>
    <w:rsid w:val="00B372AA"/>
    <w:rsid w:val="00B40445"/>
    <w:rsid w:val="00B409E0"/>
    <w:rsid w:val="00B41888"/>
    <w:rsid w:val="00B45A52"/>
    <w:rsid w:val="00B46175"/>
    <w:rsid w:val="00B541F4"/>
    <w:rsid w:val="00B548B7"/>
    <w:rsid w:val="00B65F5A"/>
    <w:rsid w:val="00B664C7"/>
    <w:rsid w:val="00B739F6"/>
    <w:rsid w:val="00B7436A"/>
    <w:rsid w:val="00B75509"/>
    <w:rsid w:val="00B81A6C"/>
    <w:rsid w:val="00B85DE5"/>
    <w:rsid w:val="00B90727"/>
    <w:rsid w:val="00B90F73"/>
    <w:rsid w:val="00B93B59"/>
    <w:rsid w:val="00B9406A"/>
    <w:rsid w:val="00B94B76"/>
    <w:rsid w:val="00BA1283"/>
    <w:rsid w:val="00BA2280"/>
    <w:rsid w:val="00BA2A08"/>
    <w:rsid w:val="00BA56D2"/>
    <w:rsid w:val="00BA76E0"/>
    <w:rsid w:val="00BB0257"/>
    <w:rsid w:val="00BB22AB"/>
    <w:rsid w:val="00BB2A25"/>
    <w:rsid w:val="00BB51E9"/>
    <w:rsid w:val="00BC0FDC"/>
    <w:rsid w:val="00BC3053"/>
    <w:rsid w:val="00BC4D2E"/>
    <w:rsid w:val="00BD48AC"/>
    <w:rsid w:val="00BD5F1A"/>
    <w:rsid w:val="00BD7324"/>
    <w:rsid w:val="00BE1234"/>
    <w:rsid w:val="00BE2FA6"/>
    <w:rsid w:val="00BE333F"/>
    <w:rsid w:val="00BE7406"/>
    <w:rsid w:val="00BE7603"/>
    <w:rsid w:val="00BF3279"/>
    <w:rsid w:val="00BF65CA"/>
    <w:rsid w:val="00BF74C7"/>
    <w:rsid w:val="00C015F1"/>
    <w:rsid w:val="00C01F33"/>
    <w:rsid w:val="00C02CC6"/>
    <w:rsid w:val="00C040F7"/>
    <w:rsid w:val="00C044AB"/>
    <w:rsid w:val="00C05706"/>
    <w:rsid w:val="00C07377"/>
    <w:rsid w:val="00C10478"/>
    <w:rsid w:val="00C11EFF"/>
    <w:rsid w:val="00C12107"/>
    <w:rsid w:val="00C14D4B"/>
    <w:rsid w:val="00C154BB"/>
    <w:rsid w:val="00C279B5"/>
    <w:rsid w:val="00C27C45"/>
    <w:rsid w:val="00C32FD2"/>
    <w:rsid w:val="00C3403B"/>
    <w:rsid w:val="00C3719D"/>
    <w:rsid w:val="00C37C74"/>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6299"/>
    <w:rsid w:val="00C9027A"/>
    <w:rsid w:val="00C9068E"/>
    <w:rsid w:val="00C93814"/>
    <w:rsid w:val="00C93C4B"/>
    <w:rsid w:val="00C944AB"/>
    <w:rsid w:val="00C95B40"/>
    <w:rsid w:val="00CA1ED8"/>
    <w:rsid w:val="00CA71F9"/>
    <w:rsid w:val="00CB1F63"/>
    <w:rsid w:val="00CB43F2"/>
    <w:rsid w:val="00CB7170"/>
    <w:rsid w:val="00CC040E"/>
    <w:rsid w:val="00CC111F"/>
    <w:rsid w:val="00CC2011"/>
    <w:rsid w:val="00CC2D2B"/>
    <w:rsid w:val="00CC33E5"/>
    <w:rsid w:val="00CC3EA0"/>
    <w:rsid w:val="00CC7B45"/>
    <w:rsid w:val="00CD1188"/>
    <w:rsid w:val="00CD2ED1"/>
    <w:rsid w:val="00CD337B"/>
    <w:rsid w:val="00CD6314"/>
    <w:rsid w:val="00CE0424"/>
    <w:rsid w:val="00CE2D6A"/>
    <w:rsid w:val="00CE7561"/>
    <w:rsid w:val="00CF133F"/>
    <w:rsid w:val="00CF1354"/>
    <w:rsid w:val="00CF3B1F"/>
    <w:rsid w:val="00CF3BF6"/>
    <w:rsid w:val="00CF625B"/>
    <w:rsid w:val="00CF687E"/>
    <w:rsid w:val="00CF70C7"/>
    <w:rsid w:val="00D0349B"/>
    <w:rsid w:val="00D10249"/>
    <w:rsid w:val="00D115C3"/>
    <w:rsid w:val="00D11897"/>
    <w:rsid w:val="00D13064"/>
    <w:rsid w:val="00D13135"/>
    <w:rsid w:val="00D13E4E"/>
    <w:rsid w:val="00D15CAA"/>
    <w:rsid w:val="00D22E83"/>
    <w:rsid w:val="00D239A7"/>
    <w:rsid w:val="00D23F47"/>
    <w:rsid w:val="00D36E71"/>
    <w:rsid w:val="00D37D87"/>
    <w:rsid w:val="00D40B33"/>
    <w:rsid w:val="00D4318F"/>
    <w:rsid w:val="00D438BF"/>
    <w:rsid w:val="00D440F8"/>
    <w:rsid w:val="00D519ED"/>
    <w:rsid w:val="00D546FF"/>
    <w:rsid w:val="00D55AD5"/>
    <w:rsid w:val="00D576CA"/>
    <w:rsid w:val="00D61AF5"/>
    <w:rsid w:val="00D61F85"/>
    <w:rsid w:val="00D652B5"/>
    <w:rsid w:val="00D66155"/>
    <w:rsid w:val="00D67B79"/>
    <w:rsid w:val="00D708B0"/>
    <w:rsid w:val="00D77B1D"/>
    <w:rsid w:val="00D8021F"/>
    <w:rsid w:val="00D80383"/>
    <w:rsid w:val="00D823C6"/>
    <w:rsid w:val="00D8327F"/>
    <w:rsid w:val="00D860EB"/>
    <w:rsid w:val="00D86CA3"/>
    <w:rsid w:val="00D871CE"/>
    <w:rsid w:val="00D9196D"/>
    <w:rsid w:val="00D92982"/>
    <w:rsid w:val="00DA305E"/>
    <w:rsid w:val="00DA5417"/>
    <w:rsid w:val="00DA56E8"/>
    <w:rsid w:val="00DA72B2"/>
    <w:rsid w:val="00DB0A9F"/>
    <w:rsid w:val="00DB377D"/>
    <w:rsid w:val="00DB3B3C"/>
    <w:rsid w:val="00DC2D36"/>
    <w:rsid w:val="00DC53EF"/>
    <w:rsid w:val="00DD689F"/>
    <w:rsid w:val="00DE5608"/>
    <w:rsid w:val="00DE58D0"/>
    <w:rsid w:val="00DE654F"/>
    <w:rsid w:val="00DF0B6E"/>
    <w:rsid w:val="00DF15E0"/>
    <w:rsid w:val="00DF37A0"/>
    <w:rsid w:val="00DF68B7"/>
    <w:rsid w:val="00E0106F"/>
    <w:rsid w:val="00E110E7"/>
    <w:rsid w:val="00E11B20"/>
    <w:rsid w:val="00E142E7"/>
    <w:rsid w:val="00E17FA2"/>
    <w:rsid w:val="00E22330"/>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3B75"/>
    <w:rsid w:val="00E54E3B"/>
    <w:rsid w:val="00E57565"/>
    <w:rsid w:val="00E63838"/>
    <w:rsid w:val="00E64434"/>
    <w:rsid w:val="00E6447E"/>
    <w:rsid w:val="00E67C51"/>
    <w:rsid w:val="00E72EFC"/>
    <w:rsid w:val="00E751C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DCE"/>
    <w:rsid w:val="00EC24D5"/>
    <w:rsid w:val="00EC27C6"/>
    <w:rsid w:val="00EC4207"/>
    <w:rsid w:val="00EC5653"/>
    <w:rsid w:val="00EC71CE"/>
    <w:rsid w:val="00ED1006"/>
    <w:rsid w:val="00ED38C6"/>
    <w:rsid w:val="00ED428F"/>
    <w:rsid w:val="00EE43DF"/>
    <w:rsid w:val="00EF0813"/>
    <w:rsid w:val="00EF18FE"/>
    <w:rsid w:val="00EF21E3"/>
    <w:rsid w:val="00EF5787"/>
    <w:rsid w:val="00EF580D"/>
    <w:rsid w:val="00EF60D0"/>
    <w:rsid w:val="00EF63BE"/>
    <w:rsid w:val="00F0528D"/>
    <w:rsid w:val="00F06C67"/>
    <w:rsid w:val="00F06DFD"/>
    <w:rsid w:val="00F071D1"/>
    <w:rsid w:val="00F07533"/>
    <w:rsid w:val="00F10629"/>
    <w:rsid w:val="00F13D48"/>
    <w:rsid w:val="00F15FA5"/>
    <w:rsid w:val="00F209B7"/>
    <w:rsid w:val="00F2376F"/>
    <w:rsid w:val="00F23A93"/>
    <w:rsid w:val="00F243D8"/>
    <w:rsid w:val="00F30828"/>
    <w:rsid w:val="00F313D6"/>
    <w:rsid w:val="00F31656"/>
    <w:rsid w:val="00F40F0C"/>
    <w:rsid w:val="00F451FF"/>
    <w:rsid w:val="00F4766C"/>
    <w:rsid w:val="00F5060E"/>
    <w:rsid w:val="00F507D1"/>
    <w:rsid w:val="00F519CE"/>
    <w:rsid w:val="00F51ADA"/>
    <w:rsid w:val="00F60203"/>
    <w:rsid w:val="00F607C5"/>
    <w:rsid w:val="00F60DEA"/>
    <w:rsid w:val="00F6302A"/>
    <w:rsid w:val="00F63950"/>
    <w:rsid w:val="00F63CA1"/>
    <w:rsid w:val="00F64C2B"/>
    <w:rsid w:val="00F651BE"/>
    <w:rsid w:val="00F67F53"/>
    <w:rsid w:val="00F703BE"/>
    <w:rsid w:val="00F71F69"/>
    <w:rsid w:val="00F72B72"/>
    <w:rsid w:val="00F74BB9"/>
    <w:rsid w:val="00F75582"/>
    <w:rsid w:val="00F76EFA"/>
    <w:rsid w:val="00F804BE"/>
    <w:rsid w:val="00F817CE"/>
    <w:rsid w:val="00F83F38"/>
    <w:rsid w:val="00F8456C"/>
    <w:rsid w:val="00F859D8"/>
    <w:rsid w:val="00F868F5"/>
    <w:rsid w:val="00F9056A"/>
    <w:rsid w:val="00F90F8D"/>
    <w:rsid w:val="00F92782"/>
    <w:rsid w:val="00F93AA9"/>
    <w:rsid w:val="00F96985"/>
    <w:rsid w:val="00F97838"/>
    <w:rsid w:val="00F97E18"/>
    <w:rsid w:val="00FA2BB3"/>
    <w:rsid w:val="00FA417D"/>
    <w:rsid w:val="00FA44B3"/>
    <w:rsid w:val="00FA4722"/>
    <w:rsid w:val="00FA5E5F"/>
    <w:rsid w:val="00FA620E"/>
    <w:rsid w:val="00FA6B8E"/>
    <w:rsid w:val="00FB4C80"/>
    <w:rsid w:val="00FB5D96"/>
    <w:rsid w:val="00FB6A6A"/>
    <w:rsid w:val="00FC0DF8"/>
    <w:rsid w:val="00FC212C"/>
    <w:rsid w:val="00FC7429"/>
    <w:rsid w:val="00FD07F6"/>
    <w:rsid w:val="00FD1EC8"/>
    <w:rsid w:val="00FD47ED"/>
    <w:rsid w:val="00FD74DB"/>
    <w:rsid w:val="00FD7660"/>
    <w:rsid w:val="00FE0655"/>
    <w:rsid w:val="00FE2365"/>
    <w:rsid w:val="00FE37D7"/>
    <w:rsid w:val="00FE4C7B"/>
    <w:rsid w:val="00FE7336"/>
    <w:rsid w:val="00FE787C"/>
    <w:rsid w:val="00FF45A5"/>
    <w:rsid w:val="00FF5C91"/>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45C1D259-0041-4746-BEC4-C45DFE42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69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556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69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69968">
      <w:bodyDiv w:val="1"/>
      <w:marLeft w:val="0"/>
      <w:marRight w:val="0"/>
      <w:marTop w:val="0"/>
      <w:marBottom w:val="0"/>
      <w:divBdr>
        <w:top w:val="none" w:sz="0" w:space="0" w:color="auto"/>
        <w:left w:val="none" w:sz="0" w:space="0" w:color="auto"/>
        <w:bottom w:val="none" w:sz="0" w:space="0" w:color="auto"/>
        <w:right w:val="none" w:sz="0" w:space="0" w:color="auto"/>
      </w:divBdr>
    </w:div>
    <w:div w:id="539511823">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37134612">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561133121">
      <w:bodyDiv w:val="1"/>
      <w:marLeft w:val="0"/>
      <w:marRight w:val="0"/>
      <w:marTop w:val="0"/>
      <w:marBottom w:val="0"/>
      <w:divBdr>
        <w:top w:val="none" w:sz="0" w:space="0" w:color="auto"/>
        <w:left w:val="none" w:sz="0" w:space="0" w:color="auto"/>
        <w:bottom w:val="none" w:sz="0" w:space="0" w:color="auto"/>
        <w:right w:val="none" w:sz="0" w:space="0" w:color="auto"/>
      </w:divBdr>
    </w:div>
    <w:div w:id="1878883454">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78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8ABAB976-0FFF-445C-8170-9FE32A051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FD12F69-5D1F-4972-B63E-E5D9B503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6867</CharactersWithSpaces>
  <SharedDoc>false</SharedDoc>
  <HLinks>
    <vt:vector size="66" baseType="variant">
      <vt:variant>
        <vt:i4>1114172</vt:i4>
      </vt:variant>
      <vt:variant>
        <vt:i4>44</vt:i4>
      </vt:variant>
      <vt:variant>
        <vt:i4>0</vt:i4>
      </vt:variant>
      <vt:variant>
        <vt:i4>5</vt:i4>
      </vt:variant>
      <vt:variant>
        <vt:lpwstr/>
      </vt:variant>
      <vt:variant>
        <vt:lpwstr>_Toc46823032</vt:lpwstr>
      </vt:variant>
      <vt:variant>
        <vt:i4>1179708</vt:i4>
      </vt:variant>
      <vt:variant>
        <vt:i4>41</vt:i4>
      </vt:variant>
      <vt:variant>
        <vt:i4>0</vt:i4>
      </vt:variant>
      <vt:variant>
        <vt:i4>5</vt:i4>
      </vt:variant>
      <vt:variant>
        <vt:lpwstr/>
      </vt:variant>
      <vt:variant>
        <vt:lpwstr>_Toc46823031</vt:lpwstr>
      </vt:variant>
      <vt:variant>
        <vt:i4>1245244</vt:i4>
      </vt:variant>
      <vt:variant>
        <vt:i4>38</vt:i4>
      </vt:variant>
      <vt:variant>
        <vt:i4>0</vt:i4>
      </vt:variant>
      <vt:variant>
        <vt:i4>5</vt:i4>
      </vt:variant>
      <vt:variant>
        <vt:lpwstr/>
      </vt:variant>
      <vt:variant>
        <vt:lpwstr>_Toc46823030</vt:lpwstr>
      </vt:variant>
      <vt:variant>
        <vt:i4>1703997</vt:i4>
      </vt:variant>
      <vt:variant>
        <vt:i4>35</vt:i4>
      </vt:variant>
      <vt:variant>
        <vt:i4>0</vt:i4>
      </vt:variant>
      <vt:variant>
        <vt:i4>5</vt:i4>
      </vt:variant>
      <vt:variant>
        <vt:lpwstr/>
      </vt:variant>
      <vt:variant>
        <vt:lpwstr>_Toc46823029</vt:lpwstr>
      </vt:variant>
      <vt:variant>
        <vt:i4>1769533</vt:i4>
      </vt:variant>
      <vt:variant>
        <vt:i4>29</vt:i4>
      </vt:variant>
      <vt:variant>
        <vt:i4>0</vt:i4>
      </vt:variant>
      <vt:variant>
        <vt:i4>5</vt:i4>
      </vt:variant>
      <vt:variant>
        <vt:lpwstr/>
      </vt:variant>
      <vt:variant>
        <vt:lpwstr>_Toc46823028</vt:lpwstr>
      </vt:variant>
      <vt:variant>
        <vt:i4>1310781</vt:i4>
      </vt:variant>
      <vt:variant>
        <vt:i4>26</vt:i4>
      </vt:variant>
      <vt:variant>
        <vt:i4>0</vt:i4>
      </vt:variant>
      <vt:variant>
        <vt:i4>5</vt:i4>
      </vt:variant>
      <vt:variant>
        <vt:lpwstr/>
      </vt:variant>
      <vt:variant>
        <vt:lpwstr>_Toc46823027</vt:lpwstr>
      </vt:variant>
      <vt:variant>
        <vt:i4>1376317</vt:i4>
      </vt:variant>
      <vt:variant>
        <vt:i4>23</vt:i4>
      </vt:variant>
      <vt:variant>
        <vt:i4>0</vt:i4>
      </vt:variant>
      <vt:variant>
        <vt:i4>5</vt:i4>
      </vt:variant>
      <vt:variant>
        <vt:lpwstr/>
      </vt:variant>
      <vt:variant>
        <vt:lpwstr>_Toc46823026</vt:lpwstr>
      </vt:variant>
      <vt:variant>
        <vt:i4>1441853</vt:i4>
      </vt:variant>
      <vt:variant>
        <vt:i4>20</vt:i4>
      </vt:variant>
      <vt:variant>
        <vt:i4>0</vt:i4>
      </vt:variant>
      <vt:variant>
        <vt:i4>5</vt:i4>
      </vt:variant>
      <vt:variant>
        <vt:lpwstr/>
      </vt:variant>
      <vt:variant>
        <vt:lpwstr>_Toc46823025</vt:lpwstr>
      </vt:variant>
      <vt:variant>
        <vt:i4>1507389</vt:i4>
      </vt:variant>
      <vt:variant>
        <vt:i4>17</vt:i4>
      </vt:variant>
      <vt:variant>
        <vt:i4>0</vt:i4>
      </vt:variant>
      <vt:variant>
        <vt:i4>5</vt:i4>
      </vt:variant>
      <vt:variant>
        <vt:lpwstr/>
      </vt:variant>
      <vt:variant>
        <vt:lpwstr>_Toc46823024</vt:lpwstr>
      </vt:variant>
      <vt:variant>
        <vt:i4>7667731</vt:i4>
      </vt:variant>
      <vt:variant>
        <vt:i4>3</vt:i4>
      </vt:variant>
      <vt:variant>
        <vt:i4>0</vt:i4>
      </vt:variant>
      <vt:variant>
        <vt:i4>5</vt:i4>
      </vt:variant>
      <vt:variant>
        <vt:lpwstr>mailto:gino.masini@ericsson.com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16</cp:revision>
  <cp:lastPrinted>2008-02-01T02:09:00Z</cp:lastPrinted>
  <dcterms:created xsi:type="dcterms:W3CDTF">2021-01-11T00:41:00Z</dcterms:created>
  <dcterms:modified xsi:type="dcterms:W3CDTF">2021-01-15T01:20:00Z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